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B8" w:rsidRPr="009D408F" w:rsidRDefault="006E3683" w:rsidP="008D6127">
      <w:pPr>
        <w:spacing w:after="0" w:line="240" w:lineRule="auto"/>
        <w:jc w:val="center"/>
        <w:rPr>
          <w:rFonts w:asciiTheme="majorHAnsi" w:hAnsiTheme="majorHAnsi"/>
          <w:b/>
          <w:sz w:val="24"/>
          <w:szCs w:val="24"/>
        </w:rPr>
      </w:pPr>
      <w:r w:rsidRPr="009D408F">
        <w:rPr>
          <w:rFonts w:asciiTheme="majorHAnsi" w:hAnsiTheme="majorHAnsi"/>
          <w:b/>
          <w:sz w:val="24"/>
          <w:szCs w:val="24"/>
        </w:rPr>
        <w:t>Sobre a Determinação de Mercados Relevantes: Teste de Elasticidade Crítica e Teste de Perda Crítica</w:t>
      </w:r>
    </w:p>
    <w:p w:rsidR="006E3683" w:rsidRPr="009D408F" w:rsidRDefault="006E3683" w:rsidP="008D6127">
      <w:pPr>
        <w:spacing w:after="0" w:line="240" w:lineRule="auto"/>
        <w:rPr>
          <w:rFonts w:asciiTheme="majorHAnsi" w:hAnsiTheme="majorHAnsi"/>
          <w:sz w:val="24"/>
          <w:szCs w:val="24"/>
        </w:rPr>
      </w:pPr>
    </w:p>
    <w:p w:rsidR="002551C5" w:rsidRDefault="002551C5" w:rsidP="002551C5">
      <w:pPr>
        <w:spacing w:after="0" w:line="240" w:lineRule="auto"/>
        <w:jc w:val="right"/>
        <w:rPr>
          <w:rFonts w:asciiTheme="majorHAnsi" w:hAnsiTheme="majorHAnsi"/>
          <w:sz w:val="24"/>
          <w:szCs w:val="24"/>
        </w:rPr>
      </w:pPr>
      <w:r>
        <w:rPr>
          <w:rFonts w:asciiTheme="majorHAnsi" w:hAnsiTheme="majorHAnsi"/>
          <w:sz w:val="24"/>
          <w:szCs w:val="24"/>
        </w:rPr>
        <w:t>Jorge Fagundes (Doutor pela UFRJ e sócio da Fagundes&amp;Associados)</w:t>
      </w:r>
    </w:p>
    <w:p w:rsidR="002551C5" w:rsidRDefault="002551C5" w:rsidP="002551C5">
      <w:pPr>
        <w:spacing w:after="0" w:line="240" w:lineRule="auto"/>
        <w:jc w:val="right"/>
        <w:rPr>
          <w:rFonts w:asciiTheme="majorHAnsi" w:hAnsiTheme="majorHAnsi"/>
          <w:sz w:val="24"/>
          <w:szCs w:val="24"/>
        </w:rPr>
      </w:pPr>
      <w:r>
        <w:rPr>
          <w:rFonts w:asciiTheme="majorHAnsi" w:hAnsiTheme="majorHAnsi"/>
          <w:sz w:val="24"/>
          <w:szCs w:val="24"/>
        </w:rPr>
        <w:t>Marislei Nishijima (Profa. Doutora da EACH-USP)</w:t>
      </w:r>
    </w:p>
    <w:p w:rsidR="002551C5" w:rsidRDefault="002551C5" w:rsidP="002551C5">
      <w:pPr>
        <w:spacing w:after="0" w:line="240" w:lineRule="auto"/>
        <w:jc w:val="right"/>
        <w:rPr>
          <w:rFonts w:asciiTheme="majorHAnsi" w:hAnsiTheme="majorHAnsi"/>
          <w:sz w:val="24"/>
          <w:szCs w:val="24"/>
        </w:rPr>
      </w:pPr>
      <w:r>
        <w:rPr>
          <w:rFonts w:asciiTheme="majorHAnsi" w:hAnsiTheme="majorHAnsi"/>
          <w:sz w:val="24"/>
          <w:szCs w:val="24"/>
        </w:rPr>
        <w:t>Marcos André de Mattos Lima (Doutorando pela PUC/RJ e associado da Fagundes&amp;Associados)</w:t>
      </w:r>
    </w:p>
    <w:p w:rsidR="002551C5" w:rsidRDefault="002551C5" w:rsidP="002551C5">
      <w:pPr>
        <w:spacing w:after="0" w:line="240" w:lineRule="auto"/>
        <w:jc w:val="right"/>
        <w:rPr>
          <w:rFonts w:asciiTheme="majorHAnsi" w:hAnsiTheme="majorHAnsi"/>
          <w:sz w:val="24"/>
          <w:szCs w:val="24"/>
        </w:rPr>
      </w:pPr>
      <w:r>
        <w:rPr>
          <w:rFonts w:asciiTheme="majorHAnsi" w:hAnsiTheme="majorHAnsi"/>
          <w:sz w:val="24"/>
          <w:szCs w:val="24"/>
        </w:rPr>
        <w:t>Maria Margarete da Rocha (Doutora pela FEA/USP e associada da Fagundes&amp;Associados)</w:t>
      </w:r>
    </w:p>
    <w:p w:rsidR="002551C5" w:rsidRDefault="002551C5" w:rsidP="002551C5">
      <w:pPr>
        <w:spacing w:after="0" w:line="240" w:lineRule="auto"/>
        <w:jc w:val="right"/>
        <w:rPr>
          <w:rFonts w:asciiTheme="majorHAnsi" w:hAnsiTheme="majorHAnsi"/>
          <w:sz w:val="24"/>
          <w:szCs w:val="24"/>
        </w:rPr>
      </w:pPr>
      <w:r>
        <w:rPr>
          <w:rFonts w:asciiTheme="majorHAnsi" w:hAnsiTheme="majorHAnsi"/>
          <w:sz w:val="24"/>
          <w:szCs w:val="24"/>
        </w:rPr>
        <w:t>Eleni Lagroteria (Mestre pela FEA/USP e associada da Fagundes&amp;Associados)</w:t>
      </w:r>
    </w:p>
    <w:p w:rsidR="0077189F" w:rsidRPr="009D408F" w:rsidRDefault="0077189F" w:rsidP="008D6127">
      <w:pPr>
        <w:spacing w:after="0" w:line="240" w:lineRule="auto"/>
        <w:jc w:val="right"/>
        <w:rPr>
          <w:rFonts w:asciiTheme="majorHAnsi" w:hAnsiTheme="majorHAnsi"/>
          <w:sz w:val="24"/>
          <w:szCs w:val="24"/>
        </w:rPr>
      </w:pPr>
    </w:p>
    <w:p w:rsidR="006E3683" w:rsidRPr="009D408F" w:rsidRDefault="009C2744" w:rsidP="008D6127">
      <w:pPr>
        <w:spacing w:after="0" w:line="240" w:lineRule="auto"/>
        <w:rPr>
          <w:rFonts w:asciiTheme="majorHAnsi" w:hAnsiTheme="majorHAnsi"/>
          <w:b/>
          <w:sz w:val="24"/>
          <w:szCs w:val="24"/>
        </w:rPr>
      </w:pPr>
      <w:r w:rsidRPr="009D408F">
        <w:rPr>
          <w:rFonts w:asciiTheme="majorHAnsi" w:hAnsiTheme="majorHAnsi"/>
          <w:b/>
          <w:sz w:val="24"/>
          <w:szCs w:val="24"/>
        </w:rPr>
        <w:t xml:space="preserve">1. </w:t>
      </w:r>
      <w:r w:rsidR="006E3683" w:rsidRPr="009D408F">
        <w:rPr>
          <w:rFonts w:asciiTheme="majorHAnsi" w:hAnsiTheme="majorHAnsi"/>
          <w:b/>
          <w:sz w:val="24"/>
          <w:szCs w:val="24"/>
        </w:rPr>
        <w:t>Introdução</w:t>
      </w:r>
    </w:p>
    <w:p w:rsidR="00C17C60" w:rsidRPr="009D408F" w:rsidRDefault="00C17C60" w:rsidP="008D6127">
      <w:pPr>
        <w:spacing w:after="0" w:line="240" w:lineRule="auto"/>
        <w:rPr>
          <w:rFonts w:asciiTheme="majorHAnsi" w:hAnsiTheme="majorHAnsi"/>
          <w:b/>
          <w:sz w:val="24"/>
          <w:szCs w:val="24"/>
        </w:rPr>
      </w:pPr>
    </w:p>
    <w:p w:rsidR="006E3683" w:rsidRPr="009D408F" w:rsidRDefault="006E3683" w:rsidP="008D6127">
      <w:pPr>
        <w:spacing w:after="0" w:line="240" w:lineRule="auto"/>
        <w:jc w:val="both"/>
        <w:rPr>
          <w:rFonts w:asciiTheme="majorHAnsi" w:hAnsiTheme="majorHAnsi"/>
          <w:sz w:val="24"/>
          <w:szCs w:val="24"/>
        </w:rPr>
      </w:pPr>
      <w:r w:rsidRPr="009D408F">
        <w:rPr>
          <w:rFonts w:asciiTheme="majorHAnsi" w:hAnsiTheme="majorHAnsi"/>
          <w:sz w:val="24"/>
          <w:szCs w:val="24"/>
        </w:rPr>
        <w:t>Após a</w:t>
      </w:r>
      <w:r w:rsidR="006A6406" w:rsidRPr="009D408F">
        <w:rPr>
          <w:rFonts w:asciiTheme="majorHAnsi" w:hAnsiTheme="majorHAnsi"/>
          <w:sz w:val="24"/>
          <w:szCs w:val="24"/>
        </w:rPr>
        <w:t xml:space="preserve"> obtenção de</w:t>
      </w:r>
      <w:r w:rsidRPr="009D408F">
        <w:rPr>
          <w:rFonts w:asciiTheme="majorHAnsi" w:hAnsiTheme="majorHAnsi"/>
          <w:sz w:val="24"/>
          <w:szCs w:val="24"/>
        </w:rPr>
        <w:t xml:space="preserve"> estim</w:t>
      </w:r>
      <w:r w:rsidR="006A6406" w:rsidRPr="009D408F">
        <w:rPr>
          <w:rFonts w:asciiTheme="majorHAnsi" w:hAnsiTheme="majorHAnsi"/>
          <w:sz w:val="24"/>
          <w:szCs w:val="24"/>
        </w:rPr>
        <w:t>ativas</w:t>
      </w:r>
      <w:r w:rsidR="001A6C7A" w:rsidRPr="009D408F">
        <w:rPr>
          <w:rFonts w:asciiTheme="majorHAnsi" w:hAnsiTheme="majorHAnsi"/>
          <w:sz w:val="24"/>
          <w:szCs w:val="24"/>
        </w:rPr>
        <w:t xml:space="preserve"> econométricas</w:t>
      </w:r>
      <w:r w:rsidR="006A6406" w:rsidRPr="009D408F">
        <w:rPr>
          <w:rFonts w:asciiTheme="majorHAnsi" w:hAnsiTheme="majorHAnsi"/>
          <w:sz w:val="24"/>
          <w:szCs w:val="24"/>
        </w:rPr>
        <w:t xml:space="preserve"> de um sistema de demandas </w:t>
      </w:r>
      <w:r w:rsidR="001A6C7A" w:rsidRPr="009D408F">
        <w:rPr>
          <w:rFonts w:asciiTheme="majorHAnsi" w:hAnsiTheme="majorHAnsi"/>
          <w:sz w:val="24"/>
          <w:szCs w:val="24"/>
        </w:rPr>
        <w:t>referente a</w:t>
      </w:r>
      <w:r w:rsidR="006A6406" w:rsidRPr="009D408F">
        <w:rPr>
          <w:rFonts w:asciiTheme="majorHAnsi" w:hAnsiTheme="majorHAnsi"/>
          <w:sz w:val="24"/>
          <w:szCs w:val="24"/>
        </w:rPr>
        <w:t xml:space="preserve"> um</w:t>
      </w:r>
      <w:r w:rsidR="0057140A" w:rsidRPr="009D408F">
        <w:rPr>
          <w:rFonts w:asciiTheme="majorHAnsi" w:hAnsiTheme="majorHAnsi"/>
          <w:sz w:val="24"/>
          <w:szCs w:val="24"/>
        </w:rPr>
        <w:t xml:space="preserve"> conjunto de bens</w:t>
      </w:r>
      <w:r w:rsidR="006A6406" w:rsidRPr="009D408F">
        <w:rPr>
          <w:rFonts w:asciiTheme="majorHAnsi" w:hAnsiTheme="majorHAnsi"/>
          <w:sz w:val="24"/>
          <w:szCs w:val="24"/>
        </w:rPr>
        <w:t xml:space="preserve"> candidato a mercado relevante, que fornecem os valores </w:t>
      </w:r>
      <w:r w:rsidR="00E74718" w:rsidRPr="009D408F">
        <w:rPr>
          <w:rFonts w:asciiTheme="majorHAnsi" w:hAnsiTheme="majorHAnsi"/>
          <w:sz w:val="24"/>
          <w:szCs w:val="24"/>
        </w:rPr>
        <w:t xml:space="preserve">empíricos </w:t>
      </w:r>
      <w:r w:rsidR="006A6406" w:rsidRPr="009D408F">
        <w:rPr>
          <w:rFonts w:asciiTheme="majorHAnsi" w:hAnsiTheme="majorHAnsi"/>
          <w:sz w:val="24"/>
          <w:szCs w:val="24"/>
        </w:rPr>
        <w:t xml:space="preserve">das </w:t>
      </w:r>
      <w:r w:rsidR="0057140A" w:rsidRPr="009D408F">
        <w:rPr>
          <w:rFonts w:asciiTheme="majorHAnsi" w:hAnsiTheme="majorHAnsi"/>
          <w:sz w:val="24"/>
          <w:szCs w:val="24"/>
        </w:rPr>
        <w:t xml:space="preserve">suas </w:t>
      </w:r>
      <w:r w:rsidR="006A6406" w:rsidRPr="009D408F">
        <w:rPr>
          <w:rFonts w:asciiTheme="majorHAnsi" w:hAnsiTheme="majorHAnsi"/>
          <w:sz w:val="24"/>
          <w:szCs w:val="24"/>
        </w:rPr>
        <w:t xml:space="preserve">elasticidades-preço própria e cruzadas, torna-se necessária uma maneira de avaliar quão adequado é tal candidato a mercado relevante </w:t>
      </w:r>
      <w:r w:rsidR="00E74718" w:rsidRPr="009D408F">
        <w:rPr>
          <w:rFonts w:asciiTheme="majorHAnsi" w:hAnsiTheme="majorHAnsi"/>
          <w:sz w:val="24"/>
          <w:szCs w:val="24"/>
        </w:rPr>
        <w:t xml:space="preserve">efetivo </w:t>
      </w:r>
      <w:r w:rsidR="00DF5D61" w:rsidRPr="009D408F">
        <w:rPr>
          <w:rFonts w:asciiTheme="majorHAnsi" w:hAnsiTheme="majorHAnsi"/>
          <w:sz w:val="24"/>
          <w:szCs w:val="24"/>
        </w:rPr>
        <w:t xml:space="preserve">com base em </w:t>
      </w:r>
      <w:r w:rsidR="006A6406" w:rsidRPr="009D408F">
        <w:rPr>
          <w:rFonts w:asciiTheme="majorHAnsi" w:hAnsiTheme="majorHAnsi"/>
          <w:sz w:val="24"/>
          <w:szCs w:val="24"/>
        </w:rPr>
        <w:t>tais estimativas.</w:t>
      </w:r>
    </w:p>
    <w:p w:rsidR="00DF5D61" w:rsidRPr="009D408F" w:rsidRDefault="004A289F" w:rsidP="008D6127">
      <w:pPr>
        <w:spacing w:after="0" w:line="240" w:lineRule="auto"/>
        <w:jc w:val="both"/>
        <w:rPr>
          <w:rFonts w:asciiTheme="majorHAnsi" w:hAnsiTheme="majorHAnsi"/>
          <w:sz w:val="24"/>
          <w:szCs w:val="24"/>
        </w:rPr>
      </w:pPr>
      <w:r w:rsidRPr="009D408F">
        <w:rPr>
          <w:rFonts w:asciiTheme="majorHAnsi" w:hAnsiTheme="majorHAnsi"/>
          <w:sz w:val="24"/>
          <w:szCs w:val="24"/>
        </w:rPr>
        <w:t>Os testes de E</w:t>
      </w:r>
      <w:r w:rsidR="006A6406" w:rsidRPr="009D408F">
        <w:rPr>
          <w:rFonts w:asciiTheme="majorHAnsi" w:hAnsiTheme="majorHAnsi"/>
          <w:sz w:val="24"/>
          <w:szCs w:val="24"/>
        </w:rPr>
        <w:t xml:space="preserve">lasticidade </w:t>
      </w:r>
      <w:r w:rsidRPr="009D408F">
        <w:rPr>
          <w:rFonts w:asciiTheme="majorHAnsi" w:hAnsiTheme="majorHAnsi"/>
          <w:sz w:val="24"/>
          <w:szCs w:val="24"/>
        </w:rPr>
        <w:t>Crítica e de P</w:t>
      </w:r>
      <w:r w:rsidR="006A6406" w:rsidRPr="009D408F">
        <w:rPr>
          <w:rFonts w:asciiTheme="majorHAnsi" w:hAnsiTheme="majorHAnsi"/>
          <w:sz w:val="24"/>
          <w:szCs w:val="24"/>
        </w:rPr>
        <w:t xml:space="preserve">erda </w:t>
      </w:r>
      <w:r w:rsidRPr="009D408F">
        <w:rPr>
          <w:rFonts w:asciiTheme="majorHAnsi" w:hAnsiTheme="majorHAnsi"/>
          <w:sz w:val="24"/>
          <w:szCs w:val="24"/>
        </w:rPr>
        <w:t>C</w:t>
      </w:r>
      <w:r w:rsidR="006A6406" w:rsidRPr="009D408F">
        <w:rPr>
          <w:rFonts w:asciiTheme="majorHAnsi" w:hAnsiTheme="majorHAnsi"/>
          <w:sz w:val="24"/>
          <w:szCs w:val="24"/>
        </w:rPr>
        <w:t>rítica</w:t>
      </w:r>
      <w:r w:rsidR="001A6C7A" w:rsidRPr="009D408F">
        <w:rPr>
          <w:rFonts w:asciiTheme="majorHAnsi" w:hAnsiTheme="majorHAnsi"/>
          <w:sz w:val="24"/>
          <w:szCs w:val="24"/>
        </w:rPr>
        <w:t xml:space="preserve"> conjugados</w:t>
      </w:r>
      <w:r w:rsidR="006A6406" w:rsidRPr="009D408F">
        <w:rPr>
          <w:rFonts w:asciiTheme="majorHAnsi" w:hAnsiTheme="majorHAnsi"/>
          <w:sz w:val="24"/>
          <w:szCs w:val="24"/>
        </w:rPr>
        <w:t xml:space="preserve"> fo</w:t>
      </w:r>
      <w:r w:rsidR="001A6C7A" w:rsidRPr="009D408F">
        <w:rPr>
          <w:rFonts w:asciiTheme="majorHAnsi" w:hAnsiTheme="majorHAnsi"/>
          <w:sz w:val="24"/>
          <w:szCs w:val="24"/>
        </w:rPr>
        <w:t>rnecem uma maneira bastante eficaz e simples</w:t>
      </w:r>
      <w:r w:rsidR="006A6406" w:rsidRPr="009D408F">
        <w:rPr>
          <w:rFonts w:asciiTheme="majorHAnsi" w:hAnsiTheme="majorHAnsi"/>
          <w:sz w:val="24"/>
          <w:szCs w:val="24"/>
        </w:rPr>
        <w:t xml:space="preserve"> de mensurar </w:t>
      </w:r>
      <w:r w:rsidRPr="009D408F">
        <w:rPr>
          <w:rFonts w:asciiTheme="majorHAnsi" w:hAnsiTheme="majorHAnsi"/>
          <w:sz w:val="24"/>
          <w:szCs w:val="24"/>
        </w:rPr>
        <w:t>o</w:t>
      </w:r>
      <w:r w:rsidR="006A6406" w:rsidRPr="009D408F">
        <w:rPr>
          <w:rFonts w:asciiTheme="majorHAnsi" w:hAnsiTheme="majorHAnsi"/>
          <w:sz w:val="24"/>
          <w:szCs w:val="24"/>
        </w:rPr>
        <w:t xml:space="preserve"> grau de adequação </w:t>
      </w:r>
      <w:r w:rsidRPr="009D408F">
        <w:rPr>
          <w:rFonts w:asciiTheme="majorHAnsi" w:hAnsiTheme="majorHAnsi"/>
          <w:sz w:val="24"/>
          <w:szCs w:val="24"/>
        </w:rPr>
        <w:t>d</w:t>
      </w:r>
      <w:r w:rsidR="00E74718" w:rsidRPr="009D408F">
        <w:rPr>
          <w:rFonts w:asciiTheme="majorHAnsi" w:hAnsiTheme="majorHAnsi"/>
          <w:sz w:val="24"/>
          <w:szCs w:val="24"/>
        </w:rPr>
        <w:t>e um</w:t>
      </w:r>
      <w:r w:rsidRPr="009D408F">
        <w:rPr>
          <w:rFonts w:asciiTheme="majorHAnsi" w:hAnsiTheme="majorHAnsi"/>
          <w:sz w:val="24"/>
          <w:szCs w:val="24"/>
        </w:rPr>
        <w:t xml:space="preserve"> candidato a mercado relevante efetivo. </w:t>
      </w:r>
      <w:r w:rsidR="00DF5D61" w:rsidRPr="009D408F">
        <w:rPr>
          <w:rFonts w:asciiTheme="majorHAnsi" w:hAnsiTheme="majorHAnsi"/>
          <w:sz w:val="24"/>
          <w:szCs w:val="24"/>
        </w:rPr>
        <w:t xml:space="preserve">Tais testes podem </w:t>
      </w:r>
      <w:r w:rsidR="006A6406" w:rsidRPr="009D408F">
        <w:rPr>
          <w:rFonts w:asciiTheme="majorHAnsi" w:hAnsiTheme="majorHAnsi"/>
          <w:sz w:val="24"/>
          <w:szCs w:val="24"/>
        </w:rPr>
        <w:t>ser</w:t>
      </w:r>
      <w:r w:rsidR="00D40406">
        <w:rPr>
          <w:rFonts w:asciiTheme="majorHAnsi" w:hAnsiTheme="majorHAnsi"/>
          <w:sz w:val="24"/>
          <w:szCs w:val="24"/>
        </w:rPr>
        <w:t xml:space="preserve"> descritos como metodologias para a </w:t>
      </w:r>
      <w:r w:rsidR="006A6406" w:rsidRPr="009D408F">
        <w:rPr>
          <w:rFonts w:asciiTheme="majorHAnsi" w:hAnsiTheme="majorHAnsi"/>
          <w:sz w:val="24"/>
          <w:szCs w:val="24"/>
        </w:rPr>
        <w:t>impl</w:t>
      </w:r>
      <w:r w:rsidR="00D40406">
        <w:rPr>
          <w:rFonts w:asciiTheme="majorHAnsi" w:hAnsiTheme="majorHAnsi"/>
          <w:sz w:val="24"/>
          <w:szCs w:val="24"/>
        </w:rPr>
        <w:t>antação</w:t>
      </w:r>
      <w:r w:rsidR="006A6406" w:rsidRPr="009D408F">
        <w:rPr>
          <w:rFonts w:asciiTheme="majorHAnsi" w:hAnsiTheme="majorHAnsi"/>
          <w:sz w:val="24"/>
          <w:szCs w:val="24"/>
        </w:rPr>
        <w:t xml:space="preserve"> do Teste do Monopolista Hipotético.</w:t>
      </w:r>
    </w:p>
    <w:p w:rsidR="001A6C7A" w:rsidRPr="009D408F" w:rsidRDefault="001A6C7A" w:rsidP="008D6127">
      <w:pPr>
        <w:spacing w:after="0" w:line="240" w:lineRule="auto"/>
        <w:jc w:val="both"/>
        <w:rPr>
          <w:rFonts w:asciiTheme="majorHAnsi" w:hAnsiTheme="majorHAnsi"/>
          <w:sz w:val="24"/>
          <w:szCs w:val="24"/>
        </w:rPr>
      </w:pPr>
      <w:r w:rsidRPr="009D408F">
        <w:rPr>
          <w:rFonts w:asciiTheme="majorHAnsi" w:hAnsiTheme="majorHAnsi"/>
          <w:sz w:val="24"/>
          <w:szCs w:val="24"/>
        </w:rPr>
        <w:t xml:space="preserve">Assim, este </w:t>
      </w:r>
      <w:r w:rsidR="005135F6">
        <w:rPr>
          <w:rFonts w:asciiTheme="majorHAnsi" w:hAnsiTheme="majorHAnsi"/>
          <w:sz w:val="24"/>
          <w:szCs w:val="24"/>
        </w:rPr>
        <w:t>artigo</w:t>
      </w:r>
      <w:r w:rsidRPr="009D408F">
        <w:rPr>
          <w:rFonts w:asciiTheme="majorHAnsi" w:hAnsiTheme="majorHAnsi"/>
          <w:sz w:val="24"/>
          <w:szCs w:val="24"/>
        </w:rPr>
        <w:t xml:space="preserve"> busca apresentar tais testes, defendendo seu uso conjunto</w:t>
      </w:r>
      <w:r w:rsidR="00E74718" w:rsidRPr="009D408F">
        <w:rPr>
          <w:rFonts w:asciiTheme="majorHAnsi" w:hAnsiTheme="majorHAnsi"/>
          <w:sz w:val="24"/>
          <w:szCs w:val="24"/>
        </w:rPr>
        <w:t>,</w:t>
      </w:r>
      <w:r w:rsidRPr="009D408F">
        <w:rPr>
          <w:rFonts w:asciiTheme="majorHAnsi" w:hAnsiTheme="majorHAnsi"/>
          <w:sz w:val="24"/>
          <w:szCs w:val="24"/>
        </w:rPr>
        <w:t xml:space="preserve"> como maneira adequa</w:t>
      </w:r>
      <w:r w:rsidR="00E74718" w:rsidRPr="009D408F">
        <w:rPr>
          <w:rFonts w:asciiTheme="majorHAnsi" w:hAnsiTheme="majorHAnsi"/>
          <w:sz w:val="24"/>
          <w:szCs w:val="24"/>
        </w:rPr>
        <w:t>da</w:t>
      </w:r>
      <w:r w:rsidRPr="009D408F">
        <w:rPr>
          <w:rFonts w:asciiTheme="majorHAnsi" w:hAnsiTheme="majorHAnsi"/>
          <w:sz w:val="24"/>
          <w:szCs w:val="24"/>
        </w:rPr>
        <w:t xml:space="preserve"> de </w:t>
      </w:r>
      <w:r w:rsidR="005135F6">
        <w:rPr>
          <w:rFonts w:asciiTheme="majorHAnsi" w:hAnsiTheme="majorHAnsi"/>
          <w:sz w:val="24"/>
          <w:szCs w:val="24"/>
        </w:rPr>
        <w:t xml:space="preserve">se </w:t>
      </w:r>
      <w:r w:rsidRPr="009D408F">
        <w:rPr>
          <w:rFonts w:asciiTheme="majorHAnsi" w:hAnsiTheme="majorHAnsi"/>
          <w:sz w:val="24"/>
          <w:szCs w:val="24"/>
        </w:rPr>
        <w:t>definir um mercado relevante, bem como mostrar sua operacionalidade em estudos antitruste.</w:t>
      </w:r>
      <w:r w:rsidR="00C17C60" w:rsidRPr="009D408F">
        <w:rPr>
          <w:rFonts w:asciiTheme="majorHAnsi" w:hAnsiTheme="majorHAnsi"/>
          <w:sz w:val="24"/>
          <w:szCs w:val="24"/>
        </w:rPr>
        <w:t xml:space="preserve"> </w:t>
      </w:r>
    </w:p>
    <w:p w:rsidR="006A6406" w:rsidRPr="009D408F" w:rsidRDefault="00E74718" w:rsidP="008D6127">
      <w:pPr>
        <w:spacing w:after="0" w:line="240" w:lineRule="auto"/>
        <w:jc w:val="both"/>
        <w:rPr>
          <w:rFonts w:asciiTheme="majorHAnsi" w:hAnsiTheme="majorHAnsi"/>
          <w:sz w:val="24"/>
          <w:szCs w:val="24"/>
        </w:rPr>
      </w:pPr>
      <w:r w:rsidRPr="009D408F">
        <w:rPr>
          <w:rFonts w:asciiTheme="majorHAnsi" w:hAnsiTheme="majorHAnsi"/>
          <w:sz w:val="24"/>
          <w:szCs w:val="24"/>
        </w:rPr>
        <w:t>C</w:t>
      </w:r>
      <w:r w:rsidR="001A6C7A" w:rsidRPr="009D408F">
        <w:rPr>
          <w:rFonts w:asciiTheme="majorHAnsi" w:hAnsiTheme="majorHAnsi"/>
          <w:sz w:val="24"/>
          <w:szCs w:val="24"/>
        </w:rPr>
        <w:t>onsiderando que órgãos de defesa da concorrência no Brasil adotam a lógica do Monopolista Hipotético como premissa para determina</w:t>
      </w:r>
      <w:r w:rsidR="00C17C60" w:rsidRPr="009D408F">
        <w:rPr>
          <w:rFonts w:asciiTheme="majorHAnsi" w:hAnsiTheme="majorHAnsi"/>
          <w:sz w:val="24"/>
          <w:szCs w:val="24"/>
        </w:rPr>
        <w:t>ção d</w:t>
      </w:r>
      <w:r w:rsidR="001A6C7A" w:rsidRPr="009D408F">
        <w:rPr>
          <w:rFonts w:asciiTheme="majorHAnsi" w:hAnsiTheme="majorHAnsi"/>
          <w:sz w:val="24"/>
          <w:szCs w:val="24"/>
        </w:rPr>
        <w:t>o mercado relevante</w:t>
      </w:r>
      <w:r w:rsidR="00C17C60" w:rsidRPr="009D408F">
        <w:rPr>
          <w:rFonts w:asciiTheme="majorHAnsi" w:hAnsiTheme="majorHAnsi"/>
          <w:sz w:val="24"/>
          <w:szCs w:val="24"/>
        </w:rPr>
        <w:t xml:space="preserve"> de um bem (ou grupo de bens) </w:t>
      </w:r>
      <w:r w:rsidR="001A6C7A" w:rsidRPr="009D408F">
        <w:rPr>
          <w:rFonts w:asciiTheme="majorHAnsi" w:hAnsiTheme="majorHAnsi"/>
          <w:sz w:val="24"/>
          <w:szCs w:val="24"/>
        </w:rPr>
        <w:t xml:space="preserve">a ser investigado em atos ou ações de concentração, </w:t>
      </w:r>
      <w:r w:rsidRPr="009D408F">
        <w:rPr>
          <w:rFonts w:asciiTheme="majorHAnsi" w:hAnsiTheme="majorHAnsi"/>
          <w:sz w:val="24"/>
          <w:szCs w:val="24"/>
        </w:rPr>
        <w:t xml:space="preserve">a disseminação de </w:t>
      </w:r>
      <w:r w:rsidR="001A6C7A" w:rsidRPr="009D408F">
        <w:rPr>
          <w:rFonts w:asciiTheme="majorHAnsi" w:hAnsiTheme="majorHAnsi"/>
          <w:sz w:val="24"/>
          <w:szCs w:val="24"/>
        </w:rPr>
        <w:t>tais testes representa uma grande contribuição para a política de defesa da concorrência.</w:t>
      </w:r>
      <w:r w:rsidR="00DF5D61" w:rsidRPr="009D408F">
        <w:rPr>
          <w:rFonts w:asciiTheme="majorHAnsi" w:hAnsiTheme="majorHAnsi"/>
          <w:sz w:val="24"/>
          <w:szCs w:val="24"/>
        </w:rPr>
        <w:t xml:space="preserve"> </w:t>
      </w:r>
      <w:r w:rsidR="006A6406" w:rsidRPr="009D408F">
        <w:rPr>
          <w:rFonts w:asciiTheme="majorHAnsi" w:hAnsiTheme="majorHAnsi"/>
          <w:sz w:val="24"/>
          <w:szCs w:val="24"/>
        </w:rPr>
        <w:t xml:space="preserve"> </w:t>
      </w:r>
    </w:p>
    <w:p w:rsidR="009C2744" w:rsidRPr="009D408F" w:rsidRDefault="009C2744" w:rsidP="008D6127">
      <w:pPr>
        <w:spacing w:after="0" w:line="240" w:lineRule="auto"/>
        <w:jc w:val="both"/>
        <w:rPr>
          <w:rFonts w:asciiTheme="majorHAnsi" w:hAnsiTheme="majorHAnsi"/>
          <w:sz w:val="24"/>
          <w:szCs w:val="24"/>
        </w:rPr>
      </w:pPr>
    </w:p>
    <w:p w:rsidR="00E74718" w:rsidRPr="009D408F" w:rsidRDefault="00BC2657" w:rsidP="008D6127">
      <w:pPr>
        <w:pStyle w:val="Ttulo1"/>
        <w:spacing w:after="100" w:afterAutospacing="1" w:line="240" w:lineRule="auto"/>
        <w:rPr>
          <w:rFonts w:asciiTheme="majorHAnsi" w:hAnsiTheme="majorHAnsi"/>
          <w:color w:val="000000"/>
          <w:sz w:val="24"/>
          <w:szCs w:val="24"/>
        </w:rPr>
      </w:pPr>
      <w:bookmarkStart w:id="0" w:name="_Toc245529633"/>
      <w:r w:rsidRPr="009D408F">
        <w:rPr>
          <w:rFonts w:asciiTheme="majorHAnsi" w:hAnsiTheme="majorHAnsi"/>
          <w:sz w:val="24"/>
          <w:szCs w:val="24"/>
        </w:rPr>
        <w:t>2</w:t>
      </w:r>
      <w:r w:rsidR="00E74718" w:rsidRPr="009D408F">
        <w:rPr>
          <w:rFonts w:asciiTheme="majorHAnsi" w:hAnsiTheme="majorHAnsi"/>
          <w:sz w:val="24"/>
          <w:szCs w:val="24"/>
        </w:rPr>
        <w:t>. Conceituação Teórica</w:t>
      </w:r>
      <w:bookmarkEnd w:id="0"/>
    </w:p>
    <w:p w:rsidR="00E74718" w:rsidRPr="009D408F" w:rsidRDefault="00BC2657" w:rsidP="008D6127">
      <w:pPr>
        <w:spacing w:after="0" w:line="240" w:lineRule="auto"/>
        <w:jc w:val="both"/>
        <w:rPr>
          <w:rFonts w:asciiTheme="majorHAnsi" w:hAnsiTheme="majorHAnsi"/>
          <w:bCs/>
          <w:sz w:val="24"/>
          <w:szCs w:val="24"/>
        </w:rPr>
      </w:pPr>
      <w:r w:rsidRPr="009D408F">
        <w:rPr>
          <w:rFonts w:asciiTheme="majorHAnsi" w:hAnsiTheme="majorHAnsi"/>
          <w:bCs/>
          <w:sz w:val="24"/>
          <w:szCs w:val="24"/>
        </w:rPr>
        <w:t>Em geral</w:t>
      </w:r>
      <w:r w:rsidR="0057140A" w:rsidRPr="009D408F">
        <w:rPr>
          <w:rStyle w:val="Refdenotaderodap"/>
          <w:rFonts w:asciiTheme="majorHAnsi" w:hAnsiTheme="majorHAnsi"/>
          <w:bCs/>
          <w:sz w:val="24"/>
          <w:szCs w:val="24"/>
        </w:rPr>
        <w:footnoteReference w:id="1"/>
      </w:r>
      <w:r w:rsidRPr="009D408F">
        <w:rPr>
          <w:rFonts w:asciiTheme="majorHAnsi" w:hAnsiTheme="majorHAnsi"/>
          <w:bCs/>
          <w:sz w:val="24"/>
          <w:szCs w:val="24"/>
        </w:rPr>
        <w:t>, a</w:t>
      </w:r>
      <w:r w:rsidR="00E74718" w:rsidRPr="009D408F">
        <w:rPr>
          <w:rFonts w:asciiTheme="majorHAnsi" w:hAnsiTheme="majorHAnsi"/>
          <w:bCs/>
          <w:sz w:val="24"/>
          <w:szCs w:val="24"/>
        </w:rPr>
        <w:t xml:space="preserve"> definição d</w:t>
      </w:r>
      <w:r w:rsidRPr="009D408F">
        <w:rPr>
          <w:rFonts w:asciiTheme="majorHAnsi" w:hAnsiTheme="majorHAnsi"/>
          <w:bCs/>
          <w:sz w:val="24"/>
          <w:szCs w:val="24"/>
        </w:rPr>
        <w:t>o grau de</w:t>
      </w:r>
      <w:r w:rsidR="00E74718" w:rsidRPr="009D408F">
        <w:rPr>
          <w:rFonts w:asciiTheme="majorHAnsi" w:hAnsiTheme="majorHAnsi"/>
          <w:bCs/>
          <w:sz w:val="24"/>
          <w:szCs w:val="24"/>
        </w:rPr>
        <w:t xml:space="preserve"> abrangência de mercados relevantes, principalmente quando se trata de produtos diferenciados, é feita com o auxílio de técnicas econométricas,</w:t>
      </w:r>
      <w:r w:rsidRPr="009D408F">
        <w:rPr>
          <w:rFonts w:asciiTheme="majorHAnsi" w:hAnsiTheme="majorHAnsi"/>
          <w:bCs/>
          <w:sz w:val="24"/>
          <w:szCs w:val="24"/>
        </w:rPr>
        <w:t xml:space="preserve"> que pressupõe </w:t>
      </w:r>
      <w:r w:rsidR="00E74718" w:rsidRPr="009D408F">
        <w:rPr>
          <w:rFonts w:asciiTheme="majorHAnsi" w:hAnsiTheme="majorHAnsi"/>
          <w:bCs/>
          <w:sz w:val="24"/>
          <w:szCs w:val="24"/>
        </w:rPr>
        <w:t>a estimação de funções de demanda pelos produtos (ou grupos de produtos)</w:t>
      </w:r>
      <w:r w:rsidRPr="009D408F">
        <w:rPr>
          <w:rFonts w:asciiTheme="majorHAnsi" w:hAnsiTheme="majorHAnsi"/>
          <w:bCs/>
          <w:sz w:val="24"/>
          <w:szCs w:val="24"/>
        </w:rPr>
        <w:t>, sistema de demandas, e de suas</w:t>
      </w:r>
      <w:r w:rsidR="00E74718" w:rsidRPr="009D408F">
        <w:rPr>
          <w:rFonts w:asciiTheme="majorHAnsi" w:hAnsiTheme="majorHAnsi"/>
          <w:bCs/>
          <w:sz w:val="24"/>
          <w:szCs w:val="24"/>
        </w:rPr>
        <w:t xml:space="preserve"> respectivas elasticidades-preço.</w:t>
      </w:r>
    </w:p>
    <w:p w:rsidR="00E74718" w:rsidRPr="009D408F" w:rsidRDefault="0057140A" w:rsidP="008D6127">
      <w:pPr>
        <w:spacing w:after="0" w:line="240" w:lineRule="auto"/>
        <w:jc w:val="both"/>
        <w:rPr>
          <w:rFonts w:asciiTheme="majorHAnsi" w:hAnsiTheme="majorHAnsi"/>
          <w:bCs/>
          <w:sz w:val="24"/>
          <w:szCs w:val="24"/>
        </w:rPr>
      </w:pPr>
      <w:r w:rsidRPr="009D408F">
        <w:rPr>
          <w:rFonts w:asciiTheme="majorHAnsi" w:hAnsiTheme="majorHAnsi"/>
          <w:bCs/>
          <w:sz w:val="24"/>
          <w:szCs w:val="24"/>
        </w:rPr>
        <w:t>Após a obtenção das estimativas das</w:t>
      </w:r>
      <w:r w:rsidR="00E74718" w:rsidRPr="009D408F">
        <w:rPr>
          <w:rFonts w:asciiTheme="majorHAnsi" w:hAnsiTheme="majorHAnsi"/>
          <w:bCs/>
          <w:sz w:val="24"/>
          <w:szCs w:val="24"/>
        </w:rPr>
        <w:t xml:space="preserve"> elasticidades-cruzadas da demanda de um determinado bem, </w:t>
      </w:r>
      <w:r w:rsidRPr="009D408F">
        <w:rPr>
          <w:rFonts w:asciiTheme="majorHAnsi" w:hAnsiTheme="majorHAnsi"/>
          <w:bCs/>
          <w:sz w:val="24"/>
          <w:szCs w:val="24"/>
        </w:rPr>
        <w:t xml:space="preserve">dentro de um grupo de produtos candidato a mercado relevante, </w:t>
      </w:r>
      <w:r w:rsidR="00E74718" w:rsidRPr="009D408F">
        <w:rPr>
          <w:rFonts w:asciiTheme="majorHAnsi" w:hAnsiTheme="majorHAnsi"/>
          <w:bCs/>
          <w:sz w:val="24"/>
          <w:szCs w:val="24"/>
        </w:rPr>
        <w:t xml:space="preserve">é possível avaliar a existência de substituição, em algum grau, por outros produtos. No entanto, não </w:t>
      </w:r>
      <w:r w:rsidRPr="009D408F">
        <w:rPr>
          <w:rFonts w:asciiTheme="majorHAnsi" w:hAnsiTheme="majorHAnsi"/>
          <w:bCs/>
          <w:sz w:val="24"/>
          <w:szCs w:val="24"/>
        </w:rPr>
        <w:t>há</w:t>
      </w:r>
      <w:r w:rsidR="00E74718" w:rsidRPr="009D408F">
        <w:rPr>
          <w:rFonts w:asciiTheme="majorHAnsi" w:hAnsiTheme="majorHAnsi"/>
          <w:bCs/>
          <w:sz w:val="24"/>
          <w:szCs w:val="24"/>
        </w:rPr>
        <w:t xml:space="preserve"> uma convenção prévia sobre qual seria o valor da elasticidade preço-cruzada que levaria </w:t>
      </w:r>
      <w:r w:rsidR="005674BD" w:rsidRPr="009D408F">
        <w:rPr>
          <w:rFonts w:asciiTheme="majorHAnsi" w:hAnsiTheme="majorHAnsi"/>
          <w:bCs/>
          <w:sz w:val="24"/>
          <w:szCs w:val="24"/>
        </w:rPr>
        <w:t>a</w:t>
      </w:r>
      <w:r w:rsidR="00E74718" w:rsidRPr="009D408F">
        <w:rPr>
          <w:rFonts w:asciiTheme="majorHAnsi" w:hAnsiTheme="majorHAnsi"/>
          <w:bCs/>
          <w:sz w:val="24"/>
          <w:szCs w:val="24"/>
        </w:rPr>
        <w:t xml:space="preserve"> alguma conclusão sobre </w:t>
      </w:r>
      <w:r w:rsidR="007E69E1" w:rsidRPr="009D408F">
        <w:rPr>
          <w:rFonts w:asciiTheme="majorHAnsi" w:hAnsiTheme="majorHAnsi"/>
          <w:bCs/>
          <w:sz w:val="24"/>
          <w:szCs w:val="24"/>
        </w:rPr>
        <w:t>a</w:t>
      </w:r>
      <w:r w:rsidR="00E74718" w:rsidRPr="009D408F">
        <w:rPr>
          <w:rFonts w:asciiTheme="majorHAnsi" w:hAnsiTheme="majorHAnsi"/>
          <w:bCs/>
          <w:sz w:val="24"/>
          <w:szCs w:val="24"/>
        </w:rPr>
        <w:t xml:space="preserve"> inclusão</w:t>
      </w:r>
      <w:r w:rsidR="005674BD" w:rsidRPr="009D408F">
        <w:rPr>
          <w:rFonts w:asciiTheme="majorHAnsi" w:hAnsiTheme="majorHAnsi"/>
          <w:bCs/>
          <w:sz w:val="24"/>
          <w:szCs w:val="24"/>
        </w:rPr>
        <w:t xml:space="preserve"> ou não</w:t>
      </w:r>
      <w:r w:rsidR="00E74718" w:rsidRPr="009D408F">
        <w:rPr>
          <w:rFonts w:asciiTheme="majorHAnsi" w:hAnsiTheme="majorHAnsi"/>
          <w:bCs/>
          <w:sz w:val="24"/>
          <w:szCs w:val="24"/>
        </w:rPr>
        <w:t xml:space="preserve"> no mercado relevante do bem testado inicialmente.</w:t>
      </w:r>
    </w:p>
    <w:p w:rsidR="007E69E1" w:rsidRPr="009D408F" w:rsidRDefault="00E74718" w:rsidP="008D6127">
      <w:pPr>
        <w:spacing w:after="0" w:line="240" w:lineRule="auto"/>
        <w:jc w:val="both"/>
        <w:rPr>
          <w:rFonts w:asciiTheme="majorHAnsi" w:hAnsiTheme="majorHAnsi"/>
          <w:bCs/>
          <w:sz w:val="24"/>
          <w:szCs w:val="24"/>
        </w:rPr>
      </w:pPr>
      <w:r w:rsidRPr="009D408F">
        <w:rPr>
          <w:rFonts w:asciiTheme="majorHAnsi" w:hAnsiTheme="majorHAnsi"/>
          <w:bCs/>
          <w:sz w:val="24"/>
          <w:szCs w:val="24"/>
        </w:rPr>
        <w:t>O</w:t>
      </w:r>
      <w:r w:rsidRPr="009D408F">
        <w:rPr>
          <w:rFonts w:asciiTheme="majorHAnsi" w:hAnsiTheme="majorHAnsi"/>
          <w:sz w:val="24"/>
          <w:szCs w:val="24"/>
        </w:rPr>
        <w:t xml:space="preserve"> “Guia para Análise de Atos de Concentração Horizontal” (“Guia H” - Portaria Conjunta SEAE/SDE n.º 50, de 1º de agosto de 2001) </w:t>
      </w:r>
      <w:r w:rsidR="00751BC8" w:rsidRPr="009D408F">
        <w:rPr>
          <w:rFonts w:asciiTheme="majorHAnsi" w:hAnsiTheme="majorHAnsi"/>
          <w:sz w:val="24"/>
          <w:szCs w:val="24"/>
        </w:rPr>
        <w:t>estabelece</w:t>
      </w:r>
      <w:r w:rsidRPr="009D408F">
        <w:rPr>
          <w:rFonts w:asciiTheme="majorHAnsi" w:hAnsiTheme="majorHAnsi"/>
          <w:sz w:val="24"/>
          <w:szCs w:val="24"/>
        </w:rPr>
        <w:t xml:space="preserve"> o </w:t>
      </w:r>
      <w:r w:rsidRPr="009D408F">
        <w:rPr>
          <w:rFonts w:asciiTheme="majorHAnsi" w:hAnsiTheme="majorHAnsi"/>
          <w:i/>
          <w:sz w:val="24"/>
          <w:szCs w:val="24"/>
        </w:rPr>
        <w:t>teste do monopolista hipotético</w:t>
      </w:r>
      <w:r w:rsidRPr="009D408F">
        <w:rPr>
          <w:rFonts w:asciiTheme="majorHAnsi" w:hAnsiTheme="majorHAnsi"/>
          <w:sz w:val="24"/>
          <w:szCs w:val="24"/>
        </w:rPr>
        <w:t xml:space="preserve"> como metodologia de definição dos mercados relevantes. </w:t>
      </w:r>
      <w:r w:rsidR="007E69E1" w:rsidRPr="009D408F">
        <w:rPr>
          <w:rFonts w:asciiTheme="majorHAnsi" w:hAnsiTheme="majorHAnsi"/>
          <w:sz w:val="24"/>
          <w:szCs w:val="24"/>
        </w:rPr>
        <w:t xml:space="preserve"> De acordo com esta</w:t>
      </w:r>
      <w:r w:rsidRPr="009D408F">
        <w:rPr>
          <w:rFonts w:asciiTheme="majorHAnsi" w:hAnsiTheme="majorHAnsi"/>
          <w:sz w:val="24"/>
          <w:szCs w:val="24"/>
        </w:rPr>
        <w:t xml:space="preserve"> concepção teórica, o</w:t>
      </w:r>
      <w:r w:rsidRPr="009D408F">
        <w:rPr>
          <w:rFonts w:asciiTheme="majorHAnsi" w:hAnsiTheme="majorHAnsi"/>
          <w:bCs/>
          <w:sz w:val="24"/>
          <w:szCs w:val="24"/>
        </w:rPr>
        <w:t xml:space="preserve"> mercado relevante deve se limitar a um </w:t>
      </w:r>
      <w:r w:rsidRPr="009D408F">
        <w:rPr>
          <w:rFonts w:asciiTheme="majorHAnsi" w:hAnsiTheme="majorHAnsi"/>
          <w:bCs/>
          <w:sz w:val="24"/>
          <w:szCs w:val="24"/>
        </w:rPr>
        <w:lastRenderedPageBreak/>
        <w:t xml:space="preserve">grupo de produtos e de áreas geográficas em que um único ofertante hipotético desses produtos nessas áreas avalie como lucrativa uma elevação pequena dos preços (em 5% ou 10%) significativa e não transitória. </w:t>
      </w:r>
    </w:p>
    <w:p w:rsidR="00751BC8" w:rsidRPr="009D408F" w:rsidRDefault="00E74718" w:rsidP="008D6127">
      <w:pPr>
        <w:spacing w:after="0" w:line="240" w:lineRule="auto"/>
        <w:jc w:val="both"/>
        <w:rPr>
          <w:rFonts w:asciiTheme="majorHAnsi" w:hAnsiTheme="majorHAnsi"/>
          <w:color w:val="000000"/>
          <w:sz w:val="24"/>
          <w:szCs w:val="24"/>
        </w:rPr>
      </w:pPr>
      <w:r w:rsidRPr="009D408F">
        <w:rPr>
          <w:rFonts w:asciiTheme="majorHAnsi" w:hAnsiTheme="majorHAnsi"/>
          <w:bCs/>
          <w:sz w:val="24"/>
          <w:szCs w:val="24"/>
        </w:rPr>
        <w:t>A dificuldade aparece</w:t>
      </w:r>
      <w:r w:rsidR="007E69E1" w:rsidRPr="009D408F">
        <w:rPr>
          <w:rFonts w:asciiTheme="majorHAnsi" w:hAnsiTheme="majorHAnsi"/>
          <w:bCs/>
          <w:sz w:val="24"/>
          <w:szCs w:val="24"/>
        </w:rPr>
        <w:t xml:space="preserve"> justamente</w:t>
      </w:r>
      <w:r w:rsidRPr="009D408F">
        <w:rPr>
          <w:rFonts w:asciiTheme="majorHAnsi" w:hAnsiTheme="majorHAnsi"/>
          <w:bCs/>
          <w:sz w:val="24"/>
          <w:szCs w:val="24"/>
        </w:rPr>
        <w:t xml:space="preserve"> </w:t>
      </w:r>
      <w:r w:rsidR="007E69E1" w:rsidRPr="009D408F">
        <w:rPr>
          <w:rFonts w:asciiTheme="majorHAnsi" w:hAnsiTheme="majorHAnsi"/>
          <w:bCs/>
          <w:sz w:val="24"/>
          <w:szCs w:val="24"/>
        </w:rPr>
        <w:t>no</w:t>
      </w:r>
      <w:r w:rsidRPr="009D408F">
        <w:rPr>
          <w:rFonts w:asciiTheme="majorHAnsi" w:hAnsiTheme="majorHAnsi"/>
          <w:bCs/>
          <w:sz w:val="24"/>
          <w:szCs w:val="24"/>
        </w:rPr>
        <w:t xml:space="preserve"> </w:t>
      </w:r>
      <w:r w:rsidR="007E69E1" w:rsidRPr="009D408F">
        <w:rPr>
          <w:rFonts w:asciiTheme="majorHAnsi" w:hAnsiTheme="majorHAnsi"/>
          <w:bCs/>
          <w:sz w:val="24"/>
          <w:szCs w:val="24"/>
        </w:rPr>
        <w:t xml:space="preserve">modo </w:t>
      </w:r>
      <w:r w:rsidRPr="009D408F">
        <w:rPr>
          <w:rFonts w:asciiTheme="majorHAnsi" w:hAnsiTheme="majorHAnsi"/>
          <w:bCs/>
          <w:sz w:val="24"/>
          <w:szCs w:val="24"/>
        </w:rPr>
        <w:t xml:space="preserve">de </w:t>
      </w:r>
      <w:r w:rsidR="007E69E1" w:rsidRPr="009D408F">
        <w:rPr>
          <w:rFonts w:asciiTheme="majorHAnsi" w:hAnsiTheme="majorHAnsi"/>
          <w:bCs/>
          <w:sz w:val="24"/>
          <w:szCs w:val="24"/>
        </w:rPr>
        <w:t xml:space="preserve">tornar </w:t>
      </w:r>
      <w:r w:rsidRPr="009D408F">
        <w:rPr>
          <w:rFonts w:asciiTheme="majorHAnsi" w:hAnsiTheme="majorHAnsi"/>
          <w:bCs/>
          <w:sz w:val="24"/>
          <w:szCs w:val="24"/>
        </w:rPr>
        <w:t>operacional</w:t>
      </w:r>
      <w:r w:rsidR="007E69E1" w:rsidRPr="009D408F">
        <w:rPr>
          <w:rFonts w:asciiTheme="majorHAnsi" w:hAnsiTheme="majorHAnsi"/>
          <w:bCs/>
          <w:sz w:val="24"/>
          <w:szCs w:val="24"/>
        </w:rPr>
        <w:t xml:space="preserve"> o </w:t>
      </w:r>
      <w:r w:rsidRPr="009D408F">
        <w:rPr>
          <w:rFonts w:asciiTheme="majorHAnsi" w:hAnsiTheme="majorHAnsi"/>
          <w:bCs/>
          <w:sz w:val="24"/>
          <w:szCs w:val="24"/>
        </w:rPr>
        <w:t>teste</w:t>
      </w:r>
      <w:r w:rsidR="007E69E1" w:rsidRPr="009D408F">
        <w:rPr>
          <w:rFonts w:asciiTheme="majorHAnsi" w:hAnsiTheme="majorHAnsi"/>
          <w:bCs/>
          <w:sz w:val="24"/>
          <w:szCs w:val="24"/>
        </w:rPr>
        <w:t xml:space="preserve"> do Monopolista Hipotético</w:t>
      </w:r>
      <w:r w:rsidRPr="009D408F">
        <w:rPr>
          <w:rFonts w:asciiTheme="majorHAnsi" w:hAnsiTheme="majorHAnsi"/>
          <w:bCs/>
          <w:sz w:val="24"/>
          <w:szCs w:val="24"/>
        </w:rPr>
        <w:t xml:space="preserve">. </w:t>
      </w:r>
      <w:r w:rsidR="007E69E1" w:rsidRPr="009D408F">
        <w:rPr>
          <w:rFonts w:asciiTheme="majorHAnsi" w:hAnsiTheme="majorHAnsi"/>
          <w:bCs/>
          <w:sz w:val="24"/>
          <w:szCs w:val="24"/>
        </w:rPr>
        <w:t>A maneira mais freqüente</w:t>
      </w:r>
      <w:r w:rsidR="005674BD" w:rsidRPr="009D408F">
        <w:rPr>
          <w:rFonts w:asciiTheme="majorHAnsi" w:hAnsiTheme="majorHAnsi"/>
          <w:bCs/>
          <w:sz w:val="24"/>
          <w:szCs w:val="24"/>
        </w:rPr>
        <w:t>mente empregada</w:t>
      </w:r>
      <w:r w:rsidR="007E69E1" w:rsidRPr="009D408F">
        <w:rPr>
          <w:rFonts w:asciiTheme="majorHAnsi" w:hAnsiTheme="majorHAnsi"/>
          <w:bCs/>
          <w:sz w:val="24"/>
          <w:szCs w:val="24"/>
        </w:rPr>
        <w:t xml:space="preserve"> em várias economias com políticas antitruste já bastante desenvolvidas, como é o caso dos Estados Unidos</w:t>
      </w:r>
      <w:r w:rsidR="00C17C60" w:rsidRPr="009D408F">
        <w:rPr>
          <w:rFonts w:asciiTheme="majorHAnsi" w:hAnsiTheme="majorHAnsi"/>
          <w:bCs/>
          <w:sz w:val="24"/>
          <w:szCs w:val="24"/>
        </w:rPr>
        <w:t xml:space="preserve"> (Werden </w:t>
      </w:r>
      <w:r w:rsidR="00751BC8" w:rsidRPr="009D408F">
        <w:rPr>
          <w:rFonts w:asciiTheme="majorHAnsi" w:hAnsiTheme="majorHAnsi"/>
          <w:bCs/>
          <w:sz w:val="24"/>
          <w:szCs w:val="24"/>
        </w:rPr>
        <w:t xml:space="preserve">1998 e </w:t>
      </w:r>
      <w:r w:rsidR="00C17C60" w:rsidRPr="009D408F">
        <w:rPr>
          <w:rFonts w:asciiTheme="majorHAnsi" w:hAnsiTheme="majorHAnsi"/>
          <w:bCs/>
          <w:sz w:val="24"/>
          <w:szCs w:val="24"/>
        </w:rPr>
        <w:t>2003)</w:t>
      </w:r>
      <w:r w:rsidR="007E69E1" w:rsidRPr="009D408F">
        <w:rPr>
          <w:rFonts w:asciiTheme="majorHAnsi" w:hAnsiTheme="majorHAnsi"/>
          <w:bCs/>
          <w:sz w:val="24"/>
          <w:szCs w:val="24"/>
        </w:rPr>
        <w:t xml:space="preserve">, tem sido o uso do Teste de Elasticidade Crítica </w:t>
      </w:r>
      <w:r w:rsidRPr="009D408F">
        <w:rPr>
          <w:rFonts w:asciiTheme="majorHAnsi" w:hAnsiTheme="majorHAnsi"/>
          <w:bCs/>
          <w:sz w:val="24"/>
          <w:szCs w:val="24"/>
        </w:rPr>
        <w:t xml:space="preserve">e </w:t>
      </w:r>
      <w:r w:rsidR="007E69E1" w:rsidRPr="009D408F">
        <w:rPr>
          <w:rFonts w:asciiTheme="majorHAnsi" w:hAnsiTheme="majorHAnsi"/>
          <w:bCs/>
          <w:sz w:val="24"/>
          <w:szCs w:val="24"/>
        </w:rPr>
        <w:t>do T</w:t>
      </w:r>
      <w:r w:rsidRPr="009D408F">
        <w:rPr>
          <w:rFonts w:asciiTheme="majorHAnsi" w:hAnsiTheme="majorHAnsi"/>
          <w:bCs/>
          <w:sz w:val="24"/>
          <w:szCs w:val="24"/>
        </w:rPr>
        <w:t xml:space="preserve">este de </w:t>
      </w:r>
      <w:r w:rsidR="007E69E1" w:rsidRPr="009D408F">
        <w:rPr>
          <w:rFonts w:asciiTheme="majorHAnsi" w:hAnsiTheme="majorHAnsi"/>
          <w:bCs/>
          <w:sz w:val="24"/>
          <w:szCs w:val="24"/>
        </w:rPr>
        <w:t>P</w:t>
      </w:r>
      <w:r w:rsidRPr="009D408F">
        <w:rPr>
          <w:rFonts w:asciiTheme="majorHAnsi" w:hAnsiTheme="majorHAnsi"/>
          <w:bCs/>
          <w:sz w:val="24"/>
          <w:szCs w:val="24"/>
        </w:rPr>
        <w:t xml:space="preserve">erda </w:t>
      </w:r>
      <w:r w:rsidR="007E69E1" w:rsidRPr="009D408F">
        <w:rPr>
          <w:rFonts w:asciiTheme="majorHAnsi" w:hAnsiTheme="majorHAnsi"/>
          <w:bCs/>
          <w:sz w:val="24"/>
          <w:szCs w:val="24"/>
        </w:rPr>
        <w:t>C</w:t>
      </w:r>
      <w:r w:rsidRPr="009D408F">
        <w:rPr>
          <w:rFonts w:asciiTheme="majorHAnsi" w:hAnsiTheme="majorHAnsi"/>
          <w:bCs/>
          <w:sz w:val="24"/>
          <w:szCs w:val="24"/>
        </w:rPr>
        <w:t xml:space="preserve">rítica, que avaliam a substituição entre produtos pelo lado da demanda. </w:t>
      </w:r>
      <w:r w:rsidR="00751BC8" w:rsidRPr="009D408F">
        <w:rPr>
          <w:rFonts w:asciiTheme="majorHAnsi" w:hAnsiTheme="majorHAnsi"/>
          <w:bCs/>
          <w:sz w:val="24"/>
          <w:szCs w:val="24"/>
        </w:rPr>
        <w:t xml:space="preserve">A sua disseminação, segundo tais autores, </w:t>
      </w:r>
      <w:r w:rsidRPr="009D408F">
        <w:rPr>
          <w:rFonts w:asciiTheme="majorHAnsi" w:hAnsiTheme="majorHAnsi"/>
          <w:color w:val="000000"/>
          <w:sz w:val="24"/>
          <w:szCs w:val="24"/>
        </w:rPr>
        <w:t>decorre da sua factibilidade e facilidade em serem realizados na prática.</w:t>
      </w:r>
    </w:p>
    <w:p w:rsidR="00E74718" w:rsidRPr="009D408F" w:rsidRDefault="00751BC8" w:rsidP="008D6127">
      <w:pPr>
        <w:spacing w:after="0" w:line="240" w:lineRule="auto"/>
        <w:jc w:val="both"/>
        <w:rPr>
          <w:rFonts w:asciiTheme="majorHAnsi" w:hAnsiTheme="majorHAnsi"/>
          <w:color w:val="000000"/>
          <w:sz w:val="24"/>
          <w:szCs w:val="24"/>
        </w:rPr>
      </w:pPr>
      <w:r w:rsidRPr="009D408F">
        <w:rPr>
          <w:rFonts w:asciiTheme="majorHAnsi" w:hAnsiTheme="majorHAnsi"/>
          <w:color w:val="000000"/>
          <w:sz w:val="24"/>
          <w:szCs w:val="24"/>
        </w:rPr>
        <w:t xml:space="preserve">Resumidamente, a </w:t>
      </w:r>
      <w:r w:rsidR="00E74718" w:rsidRPr="009D408F">
        <w:rPr>
          <w:rFonts w:asciiTheme="majorHAnsi" w:hAnsiTheme="majorHAnsi"/>
          <w:color w:val="000000"/>
          <w:sz w:val="24"/>
          <w:szCs w:val="24"/>
        </w:rPr>
        <w:t>elasticidade crítica consiste no valor máximo (em módulo) da elasticidade</w:t>
      </w:r>
      <w:r w:rsidRPr="009D408F">
        <w:rPr>
          <w:rFonts w:asciiTheme="majorHAnsi" w:hAnsiTheme="majorHAnsi"/>
          <w:color w:val="000000"/>
          <w:sz w:val="24"/>
          <w:szCs w:val="24"/>
        </w:rPr>
        <w:t>-</w:t>
      </w:r>
      <w:r w:rsidR="00E74718" w:rsidRPr="009D408F">
        <w:rPr>
          <w:rFonts w:asciiTheme="majorHAnsi" w:hAnsiTheme="majorHAnsi"/>
          <w:color w:val="000000"/>
          <w:sz w:val="24"/>
          <w:szCs w:val="24"/>
        </w:rPr>
        <w:t>preço própria, antes d</w:t>
      </w:r>
      <w:r w:rsidRPr="009D408F">
        <w:rPr>
          <w:rFonts w:asciiTheme="majorHAnsi" w:hAnsiTheme="majorHAnsi"/>
          <w:color w:val="000000"/>
          <w:sz w:val="24"/>
          <w:szCs w:val="24"/>
        </w:rPr>
        <w:t>e um ato de concentração</w:t>
      </w:r>
      <w:r w:rsidR="00E74718" w:rsidRPr="009D408F">
        <w:rPr>
          <w:rFonts w:asciiTheme="majorHAnsi" w:hAnsiTheme="majorHAnsi"/>
          <w:color w:val="000000"/>
          <w:sz w:val="24"/>
          <w:szCs w:val="24"/>
        </w:rPr>
        <w:t xml:space="preserve">, para um determinado conjunto de produtos e áreas candidatos, que faria com que um aumento de preços (de 5% ou 10%), por parte de um monopolista hipotético, ainda fosse lucrativo. Deste modo, enquanto for lucrativo ao monopolista hipotético aumentar seus preços, haverá uma sugestão de que o mercado relevante está determinado.  Já a </w:t>
      </w:r>
      <w:r w:rsidRPr="009D408F">
        <w:rPr>
          <w:rFonts w:asciiTheme="majorHAnsi" w:hAnsiTheme="majorHAnsi"/>
          <w:color w:val="000000"/>
          <w:sz w:val="24"/>
          <w:szCs w:val="24"/>
        </w:rPr>
        <w:t xml:space="preserve">idéia da </w:t>
      </w:r>
      <w:r w:rsidR="00E74718" w:rsidRPr="009D408F">
        <w:rPr>
          <w:rFonts w:asciiTheme="majorHAnsi" w:hAnsiTheme="majorHAnsi"/>
          <w:color w:val="000000"/>
          <w:sz w:val="24"/>
          <w:szCs w:val="24"/>
        </w:rPr>
        <w:t>perda crítica consiste na máxima redução na quantidade vendida que o monopolista hip</w:t>
      </w:r>
      <w:r w:rsidR="00DA041B" w:rsidRPr="009D408F">
        <w:rPr>
          <w:rFonts w:asciiTheme="majorHAnsi" w:hAnsiTheme="majorHAnsi"/>
          <w:color w:val="000000"/>
          <w:sz w:val="24"/>
          <w:szCs w:val="24"/>
        </w:rPr>
        <w:t>otético estaria disposto a incorre</w:t>
      </w:r>
      <w:r w:rsidR="00E74718" w:rsidRPr="009D408F">
        <w:rPr>
          <w:rFonts w:asciiTheme="majorHAnsi" w:hAnsiTheme="majorHAnsi"/>
          <w:color w:val="000000"/>
          <w:sz w:val="24"/>
          <w:szCs w:val="24"/>
        </w:rPr>
        <w:t>r para sustentar um aumento de preços.</w:t>
      </w:r>
      <w:r w:rsidR="00E74718" w:rsidRPr="009D408F" w:rsidDel="00595D36">
        <w:rPr>
          <w:rFonts w:asciiTheme="majorHAnsi" w:hAnsiTheme="majorHAnsi"/>
          <w:color w:val="000000"/>
          <w:sz w:val="24"/>
          <w:szCs w:val="24"/>
        </w:rPr>
        <w:t xml:space="preserve"> </w:t>
      </w:r>
    </w:p>
    <w:p w:rsidR="00E74718" w:rsidRPr="009D408F" w:rsidRDefault="00E74718" w:rsidP="008D6127">
      <w:pPr>
        <w:spacing w:after="0" w:line="240" w:lineRule="auto"/>
        <w:jc w:val="both"/>
        <w:rPr>
          <w:rFonts w:asciiTheme="majorHAnsi" w:hAnsiTheme="majorHAnsi"/>
          <w:bCs/>
          <w:sz w:val="24"/>
          <w:szCs w:val="24"/>
        </w:rPr>
      </w:pPr>
    </w:p>
    <w:p w:rsidR="00E74718" w:rsidRPr="009D408F" w:rsidRDefault="00DA041B" w:rsidP="008D6127">
      <w:pPr>
        <w:spacing w:after="0" w:line="240" w:lineRule="auto"/>
        <w:jc w:val="both"/>
        <w:rPr>
          <w:rFonts w:asciiTheme="majorHAnsi" w:hAnsiTheme="majorHAnsi"/>
          <w:b/>
          <w:bCs/>
          <w:sz w:val="24"/>
          <w:szCs w:val="24"/>
        </w:rPr>
      </w:pPr>
      <w:r w:rsidRPr="009D408F">
        <w:rPr>
          <w:rFonts w:asciiTheme="majorHAnsi" w:hAnsiTheme="majorHAnsi"/>
          <w:b/>
          <w:bCs/>
          <w:sz w:val="24"/>
          <w:szCs w:val="24"/>
        </w:rPr>
        <w:t>3</w:t>
      </w:r>
      <w:r w:rsidR="00E74718" w:rsidRPr="009D408F">
        <w:rPr>
          <w:rFonts w:asciiTheme="majorHAnsi" w:hAnsiTheme="majorHAnsi"/>
          <w:b/>
          <w:bCs/>
          <w:sz w:val="24"/>
          <w:szCs w:val="24"/>
        </w:rPr>
        <w:t>. Teste de Elasticidade Crítica</w:t>
      </w:r>
    </w:p>
    <w:p w:rsidR="00E74718" w:rsidRPr="009D408F" w:rsidRDefault="00E74718" w:rsidP="008D6127">
      <w:pPr>
        <w:spacing w:after="0" w:line="240" w:lineRule="auto"/>
        <w:jc w:val="both"/>
        <w:rPr>
          <w:rFonts w:asciiTheme="majorHAnsi" w:hAnsiTheme="majorHAnsi"/>
          <w:bCs/>
          <w:sz w:val="24"/>
          <w:szCs w:val="24"/>
        </w:rPr>
      </w:pPr>
      <w:r w:rsidRPr="009D408F">
        <w:rPr>
          <w:rFonts w:asciiTheme="majorHAnsi" w:hAnsiTheme="majorHAnsi"/>
          <w:bCs/>
          <w:sz w:val="24"/>
          <w:szCs w:val="24"/>
        </w:rPr>
        <w:t>O teste da elasticidade crítica consiste na comparação entre a elasticidade de fato, obtida por estimações econométricas, e a elasticidade crítica</w:t>
      </w:r>
      <w:r w:rsidR="00DA041B" w:rsidRPr="009D408F">
        <w:rPr>
          <w:rFonts w:asciiTheme="majorHAnsi" w:hAnsiTheme="majorHAnsi"/>
          <w:bCs/>
          <w:sz w:val="24"/>
          <w:szCs w:val="24"/>
        </w:rPr>
        <w:t xml:space="preserve"> calculada </w:t>
      </w:r>
      <w:r w:rsidR="00883777" w:rsidRPr="009D408F">
        <w:rPr>
          <w:rFonts w:asciiTheme="majorHAnsi" w:hAnsiTheme="majorHAnsi"/>
          <w:bCs/>
          <w:sz w:val="24"/>
          <w:szCs w:val="24"/>
        </w:rPr>
        <w:t>a partir das margens</w:t>
      </w:r>
      <w:r w:rsidR="00FB2448" w:rsidRPr="009D408F">
        <w:rPr>
          <w:rFonts w:asciiTheme="majorHAnsi" w:hAnsiTheme="majorHAnsi"/>
          <w:bCs/>
          <w:sz w:val="24"/>
          <w:szCs w:val="24"/>
        </w:rPr>
        <w:t xml:space="preserve"> brutas</w:t>
      </w:r>
      <w:r w:rsidR="00883777" w:rsidRPr="009D408F">
        <w:rPr>
          <w:rFonts w:asciiTheme="majorHAnsi" w:hAnsiTheme="majorHAnsi"/>
          <w:bCs/>
          <w:sz w:val="24"/>
          <w:szCs w:val="24"/>
        </w:rPr>
        <w:t xml:space="preserve"> de lucros dos produtores (diferença entre preços e custo</w:t>
      </w:r>
      <w:r w:rsidR="00FB2448" w:rsidRPr="009D408F">
        <w:rPr>
          <w:rFonts w:asciiTheme="majorHAnsi" w:hAnsiTheme="majorHAnsi"/>
          <w:bCs/>
          <w:sz w:val="24"/>
          <w:szCs w:val="24"/>
        </w:rPr>
        <w:t xml:space="preserve">, </w:t>
      </w:r>
      <m:oMath>
        <m:r>
          <w:rPr>
            <w:rFonts w:ascii="Cambria Math" w:hAnsi="Cambria Math"/>
            <w:sz w:val="24"/>
            <w:szCs w:val="24"/>
          </w:rPr>
          <m:t>m</m:t>
        </m:r>
        <m:r>
          <w:rPr>
            <w:rFonts w:ascii="Cambria Math" w:hAnsiTheme="majorHAnsi"/>
            <w:sz w:val="24"/>
            <w:szCs w:val="24"/>
          </w:rPr>
          <m:t>=</m:t>
        </m:r>
        <m:f>
          <m:fPr>
            <m:ctrlPr>
              <w:rPr>
                <w:rFonts w:ascii="Cambria Math" w:hAnsiTheme="majorHAnsi"/>
                <w:bCs/>
                <w:i/>
                <w:sz w:val="24"/>
                <w:szCs w:val="24"/>
              </w:rPr>
            </m:ctrlPr>
          </m:fPr>
          <m:num>
            <m:r>
              <w:rPr>
                <w:rFonts w:ascii="Cambria Math" w:hAnsi="Cambria Math"/>
                <w:sz w:val="24"/>
                <w:szCs w:val="24"/>
              </w:rPr>
              <m:t>p</m:t>
            </m:r>
            <m:r>
              <w:rPr>
                <w:rFonts w:asciiTheme="majorHAnsi" w:hAnsiTheme="majorHAnsi"/>
                <w:sz w:val="24"/>
                <w:szCs w:val="24"/>
              </w:rPr>
              <m:t>-</m:t>
            </m:r>
            <m:r>
              <w:rPr>
                <w:rFonts w:ascii="Cambria Math" w:hAnsi="Cambria Math"/>
                <w:sz w:val="24"/>
                <w:szCs w:val="24"/>
              </w:rPr>
              <m:t>c</m:t>
            </m:r>
          </m:num>
          <m:den>
            <m:r>
              <w:rPr>
                <w:rFonts w:ascii="Cambria Math" w:hAnsi="Cambria Math"/>
                <w:sz w:val="24"/>
                <w:szCs w:val="24"/>
              </w:rPr>
              <m:t>p</m:t>
            </m:r>
          </m:den>
        </m:f>
      </m:oMath>
      <w:r w:rsidR="00FB2448" w:rsidRPr="009D408F">
        <w:rPr>
          <w:rFonts w:asciiTheme="majorHAnsi" w:hAnsiTheme="majorHAnsi"/>
          <w:bCs/>
          <w:sz w:val="24"/>
          <w:szCs w:val="24"/>
        </w:rPr>
        <w:t>,</w:t>
      </w:r>
      <w:r w:rsidR="00883777" w:rsidRPr="009D408F">
        <w:rPr>
          <w:rFonts w:asciiTheme="majorHAnsi" w:hAnsiTheme="majorHAnsi"/>
          <w:bCs/>
          <w:sz w:val="24"/>
          <w:szCs w:val="24"/>
        </w:rPr>
        <w:t>)</w:t>
      </w:r>
      <w:r w:rsidRPr="009D408F">
        <w:rPr>
          <w:rFonts w:asciiTheme="majorHAnsi" w:hAnsiTheme="majorHAnsi"/>
          <w:bCs/>
          <w:sz w:val="24"/>
          <w:szCs w:val="24"/>
        </w:rPr>
        <w:t>. Ca</w:t>
      </w:r>
      <w:r w:rsidR="00883777" w:rsidRPr="009D408F">
        <w:rPr>
          <w:rFonts w:asciiTheme="majorHAnsi" w:hAnsiTheme="majorHAnsi"/>
          <w:bCs/>
          <w:sz w:val="24"/>
          <w:szCs w:val="24"/>
        </w:rPr>
        <w:t xml:space="preserve">so a elasticidade de fato seja </w:t>
      </w:r>
      <w:r w:rsidRPr="009D408F">
        <w:rPr>
          <w:rFonts w:asciiTheme="majorHAnsi" w:hAnsiTheme="majorHAnsi"/>
          <w:bCs/>
          <w:sz w:val="24"/>
          <w:szCs w:val="24"/>
        </w:rPr>
        <w:t xml:space="preserve">significativamente superior à elasticidade crítica, deve-se ampliar o mercado escolhido. Caso a elasticidade de fato seja </w:t>
      </w:r>
      <w:r w:rsidR="00883777" w:rsidRPr="009D408F">
        <w:rPr>
          <w:rFonts w:asciiTheme="majorHAnsi" w:hAnsiTheme="majorHAnsi"/>
          <w:bCs/>
          <w:sz w:val="24"/>
          <w:szCs w:val="24"/>
        </w:rPr>
        <w:t>significativamente</w:t>
      </w:r>
      <w:r w:rsidRPr="009D408F">
        <w:rPr>
          <w:rFonts w:asciiTheme="majorHAnsi" w:hAnsiTheme="majorHAnsi"/>
          <w:bCs/>
          <w:sz w:val="24"/>
          <w:szCs w:val="24"/>
        </w:rPr>
        <w:t xml:space="preserve"> inferior à crítica, deve-se reduzir o mercado escolhido. Caso seja </w:t>
      </w:r>
      <w:r w:rsidR="00883777" w:rsidRPr="009D408F">
        <w:rPr>
          <w:rFonts w:asciiTheme="majorHAnsi" w:hAnsiTheme="majorHAnsi"/>
          <w:bCs/>
          <w:sz w:val="24"/>
          <w:szCs w:val="24"/>
        </w:rPr>
        <w:t>aproximadamente</w:t>
      </w:r>
      <w:r w:rsidRPr="009D408F">
        <w:rPr>
          <w:rFonts w:asciiTheme="majorHAnsi" w:hAnsiTheme="majorHAnsi"/>
          <w:bCs/>
          <w:sz w:val="24"/>
          <w:szCs w:val="24"/>
        </w:rPr>
        <w:t xml:space="preserve"> </w:t>
      </w:r>
      <w:r w:rsidR="00883777" w:rsidRPr="009D408F">
        <w:rPr>
          <w:rFonts w:asciiTheme="majorHAnsi" w:hAnsiTheme="majorHAnsi"/>
          <w:bCs/>
          <w:sz w:val="24"/>
          <w:szCs w:val="24"/>
        </w:rPr>
        <w:t>semelhante</w:t>
      </w:r>
      <w:r w:rsidRPr="009D408F">
        <w:rPr>
          <w:rFonts w:asciiTheme="majorHAnsi" w:hAnsiTheme="majorHAnsi"/>
          <w:bCs/>
          <w:sz w:val="24"/>
          <w:szCs w:val="24"/>
        </w:rPr>
        <w:t xml:space="preserve">, o mercado </w:t>
      </w:r>
      <w:r w:rsidR="00883777" w:rsidRPr="009D408F">
        <w:rPr>
          <w:rFonts w:asciiTheme="majorHAnsi" w:hAnsiTheme="majorHAnsi"/>
          <w:bCs/>
          <w:sz w:val="24"/>
          <w:szCs w:val="24"/>
        </w:rPr>
        <w:t>candidato</w:t>
      </w:r>
      <w:r w:rsidRPr="009D408F">
        <w:rPr>
          <w:rFonts w:asciiTheme="majorHAnsi" w:hAnsiTheme="majorHAnsi"/>
          <w:bCs/>
          <w:sz w:val="24"/>
          <w:szCs w:val="24"/>
        </w:rPr>
        <w:t xml:space="preserve"> pode ser considerado um mercado relevante.</w:t>
      </w:r>
    </w:p>
    <w:p w:rsidR="00E74718" w:rsidRPr="009D408F" w:rsidRDefault="00FB2448" w:rsidP="008D6127">
      <w:pPr>
        <w:spacing w:after="0" w:line="240" w:lineRule="auto"/>
        <w:jc w:val="both"/>
        <w:rPr>
          <w:rFonts w:asciiTheme="majorHAnsi" w:hAnsiTheme="majorHAnsi"/>
          <w:bCs/>
          <w:sz w:val="24"/>
          <w:szCs w:val="24"/>
        </w:rPr>
      </w:pPr>
      <w:r w:rsidRPr="009D408F">
        <w:rPr>
          <w:rFonts w:asciiTheme="majorHAnsi" w:hAnsiTheme="majorHAnsi"/>
          <w:bCs/>
          <w:sz w:val="24"/>
          <w:szCs w:val="24"/>
        </w:rPr>
        <w:t>Para a condução do teste de elasticidade crítica, portanto, é necessária a estimação das elasticidades-preço efetivas e também do cálculo das elasticidades-preço críticas, que são obtidas a partir de hipóteses específicas sobre a forma funcional do modelo de sistema de demanda escolhido e de informações sobre preços e custos de produção</w:t>
      </w:r>
      <w:r w:rsidR="006D0615">
        <w:rPr>
          <w:rFonts w:asciiTheme="majorHAnsi" w:hAnsiTheme="majorHAnsi"/>
          <w:bCs/>
          <w:sz w:val="24"/>
          <w:szCs w:val="24"/>
        </w:rPr>
        <w:t>, conforme exemplos da Figura abaix</w:t>
      </w:r>
      <w:r w:rsidR="002775D5">
        <w:rPr>
          <w:rFonts w:asciiTheme="majorHAnsi" w:hAnsiTheme="majorHAnsi"/>
          <w:bCs/>
          <w:sz w:val="24"/>
          <w:szCs w:val="24"/>
        </w:rPr>
        <w:t>o</w:t>
      </w:r>
      <w:r w:rsidRPr="009D408F">
        <w:rPr>
          <w:rFonts w:asciiTheme="majorHAnsi" w:hAnsiTheme="majorHAnsi"/>
          <w:bCs/>
          <w:sz w:val="24"/>
          <w:szCs w:val="24"/>
        </w:rPr>
        <w:t>. Deve-se observar que o teste envolve uma maximização de lucro por parte de um monopolista hipotético, o que é necessariamente função de hipóteses, já que se trata de um monopolista virtual</w:t>
      </w:r>
      <w:r w:rsidR="00E74718" w:rsidRPr="009D408F">
        <w:rPr>
          <w:rStyle w:val="Refdenotaderodap"/>
          <w:rFonts w:asciiTheme="majorHAnsi" w:hAnsiTheme="majorHAnsi"/>
          <w:bCs/>
          <w:sz w:val="24"/>
          <w:szCs w:val="24"/>
        </w:rPr>
        <w:footnoteReference w:id="2"/>
      </w:r>
      <w:r w:rsidR="00E74718" w:rsidRPr="009D408F">
        <w:rPr>
          <w:rFonts w:asciiTheme="majorHAnsi" w:hAnsiTheme="majorHAnsi"/>
          <w:bCs/>
          <w:sz w:val="24"/>
          <w:szCs w:val="24"/>
        </w:rPr>
        <w:t>.</w:t>
      </w:r>
    </w:p>
    <w:p w:rsidR="00FB2448" w:rsidRPr="009D408F" w:rsidRDefault="002775D5" w:rsidP="008D6127">
      <w:pPr>
        <w:spacing w:line="240" w:lineRule="auto"/>
        <w:jc w:val="both"/>
        <w:rPr>
          <w:rFonts w:asciiTheme="majorHAnsi" w:hAnsiTheme="majorHAnsi"/>
          <w:bCs/>
          <w:sz w:val="24"/>
          <w:szCs w:val="24"/>
        </w:rPr>
      </w:pPr>
      <w:r>
        <w:rPr>
          <w:rFonts w:asciiTheme="majorHAnsi" w:hAnsiTheme="majorHAnsi"/>
          <w:bCs/>
          <w:sz w:val="24"/>
          <w:szCs w:val="24"/>
        </w:rPr>
        <w:t>Conforme</w:t>
      </w:r>
      <w:r w:rsidR="00FB2448" w:rsidRPr="009D408F">
        <w:rPr>
          <w:rFonts w:asciiTheme="majorHAnsi" w:hAnsiTheme="majorHAnsi"/>
          <w:bCs/>
          <w:sz w:val="24"/>
          <w:szCs w:val="24"/>
        </w:rPr>
        <w:t xml:space="preserve"> Werden (2003), o cálculo da elasticidade crítica pode ser feito </w:t>
      </w:r>
      <w:r>
        <w:rPr>
          <w:rFonts w:asciiTheme="majorHAnsi" w:hAnsiTheme="majorHAnsi"/>
          <w:bCs/>
          <w:sz w:val="24"/>
          <w:szCs w:val="24"/>
        </w:rPr>
        <w:t>de duas maneiras</w:t>
      </w:r>
      <w:r w:rsidR="00FB2448" w:rsidRPr="009D408F">
        <w:rPr>
          <w:rFonts w:asciiTheme="majorHAnsi" w:hAnsiTheme="majorHAnsi"/>
          <w:bCs/>
          <w:sz w:val="24"/>
          <w:szCs w:val="24"/>
        </w:rPr>
        <w:t xml:space="preserve">: o de maximização de lucros e o de </w:t>
      </w:r>
      <w:r w:rsidR="00FB2448" w:rsidRPr="009D408F">
        <w:rPr>
          <w:rFonts w:asciiTheme="majorHAnsi" w:hAnsiTheme="majorHAnsi"/>
          <w:bCs/>
          <w:i/>
          <w:sz w:val="24"/>
          <w:szCs w:val="24"/>
        </w:rPr>
        <w:t>breakeven</w:t>
      </w:r>
      <w:r w:rsidR="00FB2448" w:rsidRPr="009D408F">
        <w:rPr>
          <w:rFonts w:asciiTheme="majorHAnsi" w:hAnsiTheme="majorHAnsi"/>
          <w:bCs/>
          <w:sz w:val="24"/>
          <w:szCs w:val="24"/>
        </w:rPr>
        <w:t>. No primeiro caso, tem-se a máxima elasticidade da demanda que um monopolista maximizador de lucros poderia fazer face aos preços pré-fusão</w:t>
      </w:r>
      <w:r w:rsidR="005135F6">
        <w:rPr>
          <w:rFonts w:asciiTheme="majorHAnsi" w:hAnsiTheme="majorHAnsi"/>
          <w:bCs/>
          <w:sz w:val="24"/>
          <w:szCs w:val="24"/>
        </w:rPr>
        <w:t>,</w:t>
      </w:r>
      <w:r w:rsidR="00FB2448" w:rsidRPr="009D408F">
        <w:rPr>
          <w:rFonts w:asciiTheme="majorHAnsi" w:hAnsiTheme="majorHAnsi"/>
          <w:bCs/>
          <w:sz w:val="24"/>
          <w:szCs w:val="24"/>
        </w:rPr>
        <w:t xml:space="preserve"> de modo a ainda desejar aumentar seu preço por um valor limiar, em geral em 5%. Já no caso do cálculo da elasticidade crítica do </w:t>
      </w:r>
      <w:r w:rsidR="00FB2448" w:rsidRPr="009D408F">
        <w:rPr>
          <w:rFonts w:asciiTheme="majorHAnsi" w:hAnsiTheme="majorHAnsi"/>
          <w:bCs/>
          <w:i/>
          <w:sz w:val="24"/>
          <w:szCs w:val="24"/>
        </w:rPr>
        <w:t>breakeven</w:t>
      </w:r>
      <w:r w:rsidR="00FB2448" w:rsidRPr="009D408F">
        <w:rPr>
          <w:rFonts w:asciiTheme="majorHAnsi" w:hAnsiTheme="majorHAnsi"/>
          <w:bCs/>
          <w:sz w:val="24"/>
          <w:szCs w:val="24"/>
        </w:rPr>
        <w:t xml:space="preserve">, a idéia é que esta representa a máxima elasticidade da demanda que um monopolista poderia fazer face aos preços pré-fusão e ainda não </w:t>
      </w:r>
      <w:r w:rsidR="00FB2448" w:rsidRPr="009D408F">
        <w:rPr>
          <w:rFonts w:asciiTheme="majorHAnsi" w:hAnsiTheme="majorHAnsi"/>
          <w:bCs/>
          <w:sz w:val="24"/>
          <w:szCs w:val="24"/>
        </w:rPr>
        <w:lastRenderedPageBreak/>
        <w:t xml:space="preserve">experimentar uma redução líquida nos lucros decorrente de um aumento de preços, também em geral de 5%.   </w:t>
      </w:r>
    </w:p>
    <w:p w:rsidR="00FB2448" w:rsidRPr="009D408F" w:rsidRDefault="00FB2448" w:rsidP="008D6127">
      <w:pPr>
        <w:spacing w:line="240" w:lineRule="auto"/>
        <w:jc w:val="both"/>
        <w:rPr>
          <w:rFonts w:asciiTheme="majorHAnsi" w:hAnsiTheme="majorHAnsi"/>
          <w:bCs/>
          <w:sz w:val="24"/>
          <w:szCs w:val="24"/>
        </w:rPr>
      </w:pPr>
      <w:r w:rsidRPr="009D408F">
        <w:rPr>
          <w:rFonts w:asciiTheme="majorHAnsi" w:hAnsiTheme="majorHAnsi"/>
          <w:bCs/>
          <w:sz w:val="24"/>
          <w:szCs w:val="24"/>
        </w:rPr>
        <w:t xml:space="preserve">A diferença entre os cálculos dos conceitos de maximização de lucros e do </w:t>
      </w:r>
      <w:r w:rsidRPr="005135F6">
        <w:rPr>
          <w:rFonts w:asciiTheme="majorHAnsi" w:hAnsiTheme="majorHAnsi"/>
          <w:bCs/>
          <w:i/>
          <w:sz w:val="24"/>
          <w:szCs w:val="24"/>
        </w:rPr>
        <w:t>breakeven</w:t>
      </w:r>
      <w:r w:rsidRPr="009D408F">
        <w:rPr>
          <w:rFonts w:asciiTheme="majorHAnsi" w:hAnsiTheme="majorHAnsi"/>
          <w:bCs/>
          <w:sz w:val="24"/>
          <w:szCs w:val="24"/>
        </w:rPr>
        <w:t xml:space="preserve"> é que o primeiro implementa o teste do monopolista hipotético</w:t>
      </w:r>
      <w:r w:rsidR="005135F6">
        <w:rPr>
          <w:rFonts w:asciiTheme="majorHAnsi" w:hAnsiTheme="majorHAnsi"/>
          <w:bCs/>
          <w:sz w:val="24"/>
          <w:szCs w:val="24"/>
        </w:rPr>
        <w:t>,</w:t>
      </w:r>
      <w:r w:rsidRPr="009D408F">
        <w:rPr>
          <w:rFonts w:asciiTheme="majorHAnsi" w:hAnsiTheme="majorHAnsi"/>
          <w:bCs/>
          <w:sz w:val="24"/>
          <w:szCs w:val="24"/>
        </w:rPr>
        <w:t xml:space="preserve"> mas é sensível ao formato desconhecido da demanda do monopolista hipotético. Já os cálculos do </w:t>
      </w:r>
      <w:r w:rsidRPr="005135F6">
        <w:rPr>
          <w:rFonts w:asciiTheme="majorHAnsi" w:hAnsiTheme="majorHAnsi"/>
          <w:bCs/>
          <w:i/>
          <w:sz w:val="24"/>
          <w:szCs w:val="24"/>
        </w:rPr>
        <w:t>breakeven</w:t>
      </w:r>
      <w:r w:rsidRPr="009D408F">
        <w:rPr>
          <w:rFonts w:asciiTheme="majorHAnsi" w:hAnsiTheme="majorHAnsi"/>
          <w:bCs/>
          <w:sz w:val="24"/>
          <w:szCs w:val="24"/>
        </w:rPr>
        <w:t xml:space="preserve"> geram valores próximos </w:t>
      </w:r>
      <w:r w:rsidR="005135F6">
        <w:rPr>
          <w:rFonts w:asciiTheme="majorHAnsi" w:hAnsiTheme="majorHAnsi"/>
          <w:bCs/>
          <w:sz w:val="24"/>
          <w:szCs w:val="24"/>
        </w:rPr>
        <w:t xml:space="preserve">aqueles que </w:t>
      </w:r>
      <w:r w:rsidRPr="009D408F">
        <w:rPr>
          <w:rFonts w:asciiTheme="majorHAnsi" w:hAnsiTheme="majorHAnsi"/>
          <w:bCs/>
          <w:sz w:val="24"/>
          <w:szCs w:val="24"/>
        </w:rPr>
        <w:t>maximiza</w:t>
      </w:r>
      <w:r w:rsidR="005135F6">
        <w:rPr>
          <w:rFonts w:asciiTheme="majorHAnsi" w:hAnsiTheme="majorHAnsi"/>
          <w:bCs/>
          <w:sz w:val="24"/>
          <w:szCs w:val="24"/>
        </w:rPr>
        <w:t>m os</w:t>
      </w:r>
      <w:r w:rsidRPr="009D408F">
        <w:rPr>
          <w:rFonts w:asciiTheme="majorHAnsi" w:hAnsiTheme="majorHAnsi"/>
          <w:bCs/>
          <w:sz w:val="24"/>
          <w:szCs w:val="24"/>
        </w:rPr>
        <w:t xml:space="preserve"> lucros para pequenos aumentos de preços e grandes margens. </w:t>
      </w:r>
    </w:p>
    <w:p w:rsidR="00FB2448" w:rsidRPr="009D408F" w:rsidRDefault="00FB2448" w:rsidP="008D6127">
      <w:pPr>
        <w:spacing w:line="240" w:lineRule="auto"/>
        <w:jc w:val="both"/>
        <w:rPr>
          <w:rFonts w:asciiTheme="majorHAnsi" w:hAnsiTheme="majorHAnsi"/>
          <w:bCs/>
          <w:sz w:val="24"/>
          <w:szCs w:val="24"/>
        </w:rPr>
      </w:pPr>
      <w:r w:rsidRPr="009D408F">
        <w:rPr>
          <w:rFonts w:asciiTheme="majorHAnsi" w:hAnsiTheme="majorHAnsi"/>
          <w:bCs/>
          <w:sz w:val="24"/>
          <w:szCs w:val="24"/>
        </w:rPr>
        <w:t>A figura abaixo mostra os cálculos das elasticidades críticas, conforme o comportamento maximizador de lucros e conforme o Breakeven, para dois tipos de formas funcionais de demanda, a linear e a isso-elástica, ou seja, para a função CES.</w:t>
      </w:r>
    </w:p>
    <w:p w:rsidR="00FB2448" w:rsidRPr="009D408F" w:rsidRDefault="00FB2448" w:rsidP="008D6127">
      <w:pPr>
        <w:pStyle w:val="Ttulo3"/>
        <w:rPr>
          <w:rFonts w:asciiTheme="majorHAnsi" w:hAnsiTheme="majorHAnsi"/>
        </w:rPr>
      </w:pPr>
      <w:bookmarkStart w:id="1" w:name="_Toc244990785"/>
    </w:p>
    <w:p w:rsidR="00FB2448" w:rsidRPr="009D408F" w:rsidRDefault="00FB2448" w:rsidP="008D6127">
      <w:pPr>
        <w:pStyle w:val="Ttulo3"/>
        <w:rPr>
          <w:rFonts w:asciiTheme="majorHAnsi" w:hAnsiTheme="majorHAnsi"/>
        </w:rPr>
      </w:pPr>
      <w:bookmarkStart w:id="2" w:name="_Toc254853512"/>
      <w:bookmarkStart w:id="3" w:name="_Toc254855167"/>
      <w:bookmarkEnd w:id="1"/>
      <w:r w:rsidRPr="009D408F">
        <w:rPr>
          <w:rFonts w:asciiTheme="majorHAnsi" w:hAnsiTheme="majorHAnsi"/>
        </w:rPr>
        <w:t xml:space="preserve">Figura </w:t>
      </w:r>
      <w:r w:rsidR="00BD69DB" w:rsidRPr="009D408F">
        <w:rPr>
          <w:rFonts w:asciiTheme="majorHAnsi" w:hAnsiTheme="majorHAnsi"/>
        </w:rPr>
        <w:fldChar w:fldCharType="begin"/>
      </w:r>
      <w:r w:rsidRPr="009D408F">
        <w:rPr>
          <w:rFonts w:asciiTheme="majorHAnsi" w:hAnsiTheme="majorHAnsi"/>
        </w:rPr>
        <w:instrText xml:space="preserve"> SEQ Figura \* ARABIC </w:instrText>
      </w:r>
      <w:r w:rsidR="00BD69DB" w:rsidRPr="009D408F">
        <w:rPr>
          <w:rFonts w:asciiTheme="majorHAnsi" w:hAnsiTheme="majorHAnsi"/>
        </w:rPr>
        <w:fldChar w:fldCharType="separate"/>
      </w:r>
      <w:r w:rsidRPr="009D408F">
        <w:rPr>
          <w:rFonts w:asciiTheme="majorHAnsi" w:hAnsiTheme="majorHAnsi"/>
          <w:noProof/>
        </w:rPr>
        <w:t>3</w:t>
      </w:r>
      <w:r w:rsidR="00BD69DB" w:rsidRPr="009D408F">
        <w:rPr>
          <w:rFonts w:asciiTheme="majorHAnsi" w:hAnsiTheme="majorHAnsi"/>
        </w:rPr>
        <w:fldChar w:fldCharType="end"/>
      </w:r>
      <w:r w:rsidRPr="009D408F">
        <w:rPr>
          <w:rFonts w:asciiTheme="majorHAnsi" w:hAnsiTheme="majorHAnsi"/>
        </w:rPr>
        <w:t>- Fórmulas de Cálculo das Elasticidades-Preço Críticas</w:t>
      </w:r>
      <w:bookmarkEnd w:id="2"/>
      <w:bookmarkEnd w:id="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5"/>
        <w:gridCol w:w="2532"/>
        <w:gridCol w:w="2483"/>
      </w:tblGrid>
      <w:tr w:rsidR="00FB2448" w:rsidRPr="009D408F" w:rsidTr="00A550FB">
        <w:trPr>
          <w:jc w:val="center"/>
        </w:trPr>
        <w:tc>
          <w:tcPr>
            <w:tcW w:w="3705" w:type="dxa"/>
            <w:vAlign w:val="center"/>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t>Formato da Curva de Demanda</w:t>
            </w:r>
          </w:p>
        </w:tc>
        <w:tc>
          <w:tcPr>
            <w:tcW w:w="2532" w:type="dxa"/>
            <w:vAlign w:val="center"/>
          </w:tcPr>
          <w:p w:rsidR="00FB2448" w:rsidRPr="009D408F" w:rsidRDefault="00FB2448" w:rsidP="008D6127">
            <w:pPr>
              <w:tabs>
                <w:tab w:val="center" w:pos="1174"/>
              </w:tabs>
              <w:spacing w:line="240" w:lineRule="auto"/>
              <w:jc w:val="center"/>
              <w:rPr>
                <w:rFonts w:asciiTheme="majorHAnsi" w:hAnsiTheme="majorHAnsi"/>
                <w:b/>
                <w:bCs/>
                <w:sz w:val="24"/>
                <w:szCs w:val="24"/>
              </w:rPr>
            </w:pPr>
            <w:r w:rsidRPr="009D408F">
              <w:rPr>
                <w:rFonts w:asciiTheme="majorHAnsi" w:hAnsiTheme="majorHAnsi"/>
                <w:b/>
                <w:bCs/>
                <w:sz w:val="24"/>
                <w:szCs w:val="24"/>
              </w:rPr>
              <w:t>Maximização de lucros</w:t>
            </w:r>
          </w:p>
        </w:tc>
        <w:tc>
          <w:tcPr>
            <w:tcW w:w="2483" w:type="dxa"/>
            <w:vAlign w:val="center"/>
          </w:tcPr>
          <w:p w:rsidR="00FB2448" w:rsidRPr="009D408F" w:rsidRDefault="00FB2448" w:rsidP="008D6127">
            <w:pPr>
              <w:tabs>
                <w:tab w:val="center" w:pos="1174"/>
              </w:tabs>
              <w:spacing w:line="240" w:lineRule="auto"/>
              <w:jc w:val="center"/>
              <w:rPr>
                <w:rFonts w:asciiTheme="majorHAnsi" w:hAnsiTheme="majorHAnsi"/>
                <w:b/>
                <w:bCs/>
                <w:sz w:val="24"/>
                <w:szCs w:val="24"/>
              </w:rPr>
            </w:pPr>
            <w:r w:rsidRPr="009D408F">
              <w:rPr>
                <w:rFonts w:asciiTheme="majorHAnsi" w:hAnsiTheme="majorHAnsi"/>
                <w:b/>
                <w:bCs/>
                <w:sz w:val="24"/>
                <w:szCs w:val="24"/>
              </w:rPr>
              <w:t>Breakeven</w:t>
            </w:r>
          </w:p>
        </w:tc>
      </w:tr>
      <w:tr w:rsidR="00FB2448" w:rsidRPr="009D408F" w:rsidTr="00A550FB">
        <w:trPr>
          <w:jc w:val="center"/>
        </w:trPr>
        <w:tc>
          <w:tcPr>
            <w:tcW w:w="3705"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t>Linear</w:t>
            </w:r>
          </w:p>
        </w:tc>
        <w:tc>
          <w:tcPr>
            <w:tcW w:w="2532"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t xml:space="preserve"> </w:t>
            </w:r>
            <w:r w:rsidRPr="009D408F">
              <w:rPr>
                <w:rFonts w:asciiTheme="majorHAnsi" w:hAnsiTheme="majorHAnsi"/>
                <w:b/>
                <w:bCs/>
                <w:sz w:val="24"/>
                <w:szCs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v:imagedata r:id="rId7" o:title=""/>
                </v:shape>
                <o:OLEObject Type="Embed" ProgID="Equation.DSMT4" ShapeID="_x0000_i1025" DrawAspect="Content" ObjectID="_1333214576" r:id="rId8"/>
              </w:object>
            </w:r>
          </w:p>
        </w:tc>
        <w:tc>
          <w:tcPr>
            <w:tcW w:w="2483"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object w:dxaOrig="580" w:dyaOrig="620">
                <v:shape id="_x0000_i1026" type="#_x0000_t75" style="width:29.25pt;height:30.75pt" o:ole="">
                  <v:imagedata r:id="rId9" o:title=""/>
                </v:shape>
                <o:OLEObject Type="Embed" ProgID="Equation.3" ShapeID="_x0000_i1026" DrawAspect="Content" ObjectID="_1333214577" r:id="rId10"/>
              </w:object>
            </w:r>
          </w:p>
        </w:tc>
      </w:tr>
      <w:tr w:rsidR="00FB2448" w:rsidRPr="009D408F" w:rsidTr="00A550FB">
        <w:trPr>
          <w:jc w:val="center"/>
        </w:trPr>
        <w:tc>
          <w:tcPr>
            <w:tcW w:w="3705"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t>Isoelástica</w:t>
            </w:r>
          </w:p>
        </w:tc>
        <w:tc>
          <w:tcPr>
            <w:tcW w:w="2532"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object w:dxaOrig="580" w:dyaOrig="620">
                <v:shape id="_x0000_i1027" type="#_x0000_t75" style="width:28.5pt;height:31.5pt" o:ole="">
                  <v:imagedata r:id="rId11" o:title=""/>
                </v:shape>
                <o:OLEObject Type="Embed" ProgID="Equation.DSMT4" ShapeID="_x0000_i1027" DrawAspect="Content" ObjectID="_1333214578" r:id="rId12"/>
              </w:object>
            </w:r>
          </w:p>
        </w:tc>
        <w:tc>
          <w:tcPr>
            <w:tcW w:w="2483"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object w:dxaOrig="1900" w:dyaOrig="660">
                <v:shape id="_x0000_i1028" type="#_x0000_t75" style="width:95.25pt;height:33pt" o:ole="">
                  <v:imagedata r:id="rId13" o:title=""/>
                </v:shape>
                <o:OLEObject Type="Embed" ProgID="Equation.3" ShapeID="_x0000_i1028" DrawAspect="Content" ObjectID="_1333214579" r:id="rId14"/>
              </w:object>
            </w:r>
          </w:p>
        </w:tc>
      </w:tr>
    </w:tbl>
    <w:p w:rsidR="00FB2448" w:rsidRPr="009D408F" w:rsidRDefault="00FB2448" w:rsidP="008D6127">
      <w:pPr>
        <w:spacing w:line="240" w:lineRule="auto"/>
        <w:jc w:val="both"/>
        <w:rPr>
          <w:rFonts w:asciiTheme="majorHAnsi" w:hAnsiTheme="majorHAnsi"/>
          <w:bCs/>
          <w:sz w:val="24"/>
          <w:szCs w:val="24"/>
        </w:rPr>
      </w:pPr>
      <w:r w:rsidRPr="009D408F">
        <w:rPr>
          <w:rFonts w:asciiTheme="majorHAnsi" w:hAnsiTheme="majorHAnsi"/>
          <w:bCs/>
          <w:sz w:val="24"/>
          <w:szCs w:val="24"/>
        </w:rPr>
        <w:t>Fonte: Werden (2003)</w:t>
      </w:r>
    </w:p>
    <w:p w:rsidR="00FB2448" w:rsidRPr="009D408F" w:rsidRDefault="00FB2448" w:rsidP="008D6127">
      <w:pPr>
        <w:spacing w:line="240" w:lineRule="auto"/>
        <w:jc w:val="both"/>
        <w:rPr>
          <w:rFonts w:asciiTheme="majorHAnsi" w:hAnsiTheme="majorHAnsi"/>
          <w:bCs/>
          <w:sz w:val="24"/>
          <w:szCs w:val="24"/>
        </w:rPr>
      </w:pPr>
      <w:r w:rsidRPr="009D408F">
        <w:rPr>
          <w:rFonts w:asciiTheme="majorHAnsi" w:hAnsiTheme="majorHAnsi"/>
          <w:bCs/>
          <w:sz w:val="24"/>
          <w:szCs w:val="24"/>
        </w:rPr>
        <w:t xml:space="preserve">Na figura acima, tem-se as seguintes variáveis: </w:t>
      </w:r>
      <w:r w:rsidRPr="009D408F">
        <w:rPr>
          <w:rFonts w:asciiTheme="majorHAnsi" w:hAnsiTheme="majorHAnsi"/>
          <w:b/>
          <w:bCs/>
          <w:i/>
          <w:sz w:val="24"/>
          <w:szCs w:val="24"/>
        </w:rPr>
        <w:t>m</w:t>
      </w:r>
      <w:r w:rsidRPr="009D408F">
        <w:rPr>
          <w:rFonts w:asciiTheme="majorHAnsi" w:hAnsiTheme="majorHAnsi"/>
          <w:bCs/>
          <w:sz w:val="24"/>
          <w:szCs w:val="24"/>
        </w:rPr>
        <w:t xml:space="preserve"> que representa a margem bruta de lucro, </w:t>
      </w:r>
      <w:r w:rsidRPr="009D408F">
        <w:rPr>
          <w:rFonts w:asciiTheme="majorHAnsi" w:hAnsiTheme="majorHAnsi"/>
          <w:bCs/>
          <w:position w:val="-28"/>
          <w:sz w:val="24"/>
          <w:szCs w:val="24"/>
        </w:rPr>
        <w:object w:dxaOrig="1540" w:dyaOrig="660">
          <v:shape id="_x0000_i1029" type="#_x0000_t75" style="width:77.25pt;height:33pt" o:ole="">
            <v:imagedata r:id="rId15" o:title=""/>
          </v:shape>
          <o:OLEObject Type="Embed" ProgID="Equation.3" ShapeID="_x0000_i1029" DrawAspect="Content" ObjectID="_1333214580" r:id="rId16"/>
        </w:object>
      </w:r>
      <w:r w:rsidRPr="009D408F">
        <w:rPr>
          <w:rFonts w:asciiTheme="majorHAnsi" w:hAnsiTheme="majorHAnsi"/>
          <w:bCs/>
          <w:i/>
          <w:sz w:val="24"/>
          <w:szCs w:val="24"/>
        </w:rPr>
        <w:t>,</w:t>
      </w:r>
      <w:r w:rsidRPr="009D408F">
        <w:rPr>
          <w:rFonts w:asciiTheme="majorHAnsi" w:hAnsiTheme="majorHAnsi"/>
          <w:bCs/>
          <w:sz w:val="24"/>
          <w:szCs w:val="24"/>
        </w:rPr>
        <w:t xml:space="preserve"> sendo </w:t>
      </w:r>
      <w:r w:rsidRPr="009D408F">
        <w:rPr>
          <w:rFonts w:asciiTheme="majorHAnsi" w:hAnsiTheme="majorHAnsi"/>
          <w:bCs/>
          <w:i/>
          <w:sz w:val="24"/>
          <w:szCs w:val="24"/>
        </w:rPr>
        <w:t>p</w:t>
      </w:r>
      <w:r w:rsidRPr="009D408F">
        <w:rPr>
          <w:rFonts w:asciiTheme="majorHAnsi" w:hAnsiTheme="majorHAnsi"/>
          <w:bCs/>
          <w:sz w:val="24"/>
          <w:szCs w:val="24"/>
        </w:rPr>
        <w:t xml:space="preserve"> o preço do bem em questão e </w:t>
      </w:r>
      <w:r w:rsidRPr="009D408F">
        <w:rPr>
          <w:rFonts w:asciiTheme="majorHAnsi" w:hAnsiTheme="majorHAnsi"/>
          <w:bCs/>
          <w:i/>
          <w:sz w:val="24"/>
          <w:szCs w:val="24"/>
        </w:rPr>
        <w:t>cvme</w:t>
      </w:r>
      <w:r w:rsidRPr="009D408F">
        <w:rPr>
          <w:rFonts w:asciiTheme="majorHAnsi" w:hAnsiTheme="majorHAnsi"/>
          <w:bCs/>
          <w:sz w:val="24"/>
          <w:szCs w:val="24"/>
        </w:rPr>
        <w:t xml:space="preserve"> seu custo variável médio; e </w:t>
      </w:r>
      <w:r w:rsidRPr="009D408F">
        <w:rPr>
          <w:rFonts w:asciiTheme="majorHAnsi" w:hAnsiTheme="majorHAnsi"/>
          <w:bCs/>
          <w:i/>
          <w:sz w:val="24"/>
          <w:szCs w:val="24"/>
        </w:rPr>
        <w:t>t</w:t>
      </w:r>
      <w:r w:rsidRPr="009D408F">
        <w:rPr>
          <w:rFonts w:asciiTheme="majorHAnsi" w:hAnsiTheme="majorHAnsi"/>
          <w:bCs/>
          <w:sz w:val="24"/>
          <w:szCs w:val="24"/>
        </w:rPr>
        <w:t xml:space="preserve"> corresponde ao aumento de preço percentual considerado no teste, em geral adota-se 5% ou 10%.</w:t>
      </w:r>
    </w:p>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t xml:space="preserve">O teste, portanto, pode ser resumido pelo cálculo destas elasticidades críticas do candidato a mercado relevante e a sua direta comparação com as elasticidades-preço da demanda efetivamente estimadas, também deste candidato, ou ainda para os seus segmentos ou subgrupos de produtos. </w:t>
      </w:r>
    </w:p>
    <w:p w:rsidR="00FB2448" w:rsidRDefault="00A853B1" w:rsidP="008D6127">
      <w:pPr>
        <w:pStyle w:val="Ttulo2"/>
        <w:spacing w:line="240" w:lineRule="auto"/>
        <w:rPr>
          <w:color w:val="auto"/>
          <w:sz w:val="24"/>
          <w:szCs w:val="24"/>
        </w:rPr>
      </w:pPr>
      <w:bookmarkStart w:id="4" w:name="_Toc254853513"/>
      <w:r w:rsidRPr="008D6127">
        <w:rPr>
          <w:color w:val="auto"/>
          <w:sz w:val="24"/>
          <w:szCs w:val="24"/>
        </w:rPr>
        <w:t>4</w:t>
      </w:r>
      <w:r w:rsidR="00FB2448" w:rsidRPr="008D6127">
        <w:rPr>
          <w:color w:val="auto"/>
          <w:sz w:val="24"/>
          <w:szCs w:val="24"/>
        </w:rPr>
        <w:t>. Teste de Perda Crítica</w:t>
      </w:r>
      <w:bookmarkEnd w:id="4"/>
    </w:p>
    <w:p w:rsidR="005135F6" w:rsidRPr="005135F6" w:rsidRDefault="005135F6" w:rsidP="005135F6"/>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t>O teste da Perda Crítica (</w:t>
      </w:r>
      <w:r w:rsidRPr="009D408F">
        <w:rPr>
          <w:rFonts w:asciiTheme="majorHAnsi" w:hAnsiTheme="majorHAnsi"/>
          <w:i/>
          <w:color w:val="000000"/>
          <w:sz w:val="24"/>
          <w:szCs w:val="24"/>
        </w:rPr>
        <w:t>Critical Loss</w:t>
      </w:r>
      <w:r w:rsidRPr="009D408F">
        <w:rPr>
          <w:rFonts w:asciiTheme="majorHAnsi" w:hAnsiTheme="majorHAnsi"/>
          <w:color w:val="000000"/>
          <w:sz w:val="24"/>
          <w:szCs w:val="24"/>
        </w:rPr>
        <w:t>) se baseia no princípio de que nenhuma firma aumenta seu preço quando esse aumento promove uma queda no seu lucro. Este método foi introduzido por Harris e Simons (1989) com vistas a estabelecer uma regra aritmética simples e imediata para o teste do monopolista hipotético.</w:t>
      </w:r>
    </w:p>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t xml:space="preserve">A análise de perda crítica, assim como a da elasticidade crítica, segundo Werden (2003), também apresenta duas formas de cálculo distintas: a de maximização de lucros; e a do breakeven. De acordo com a primeira metodologia, a perda crítica seria a máxima redução que um monopolista hipotético maximizador de lucros toleraria na sua quantidade vendida para sustentar um dado aumento de preços, em geral igual a 5%. Enquanto, para o caso dos cálculos do breakeven, esse valor </w:t>
      </w:r>
      <w:r w:rsidRPr="009D408F">
        <w:rPr>
          <w:rFonts w:asciiTheme="majorHAnsi" w:hAnsiTheme="majorHAnsi"/>
          <w:color w:val="000000"/>
          <w:sz w:val="24"/>
          <w:szCs w:val="24"/>
        </w:rPr>
        <w:lastRenderedPageBreak/>
        <w:t>representaria a máxima redução que um monopolista experimentaria em sua quantidade vendida sem incorrer em redução de seus lucros para um dado aumento de preços, em geral de 5%.</w:t>
      </w:r>
    </w:p>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t xml:space="preserve">Abaixo estão apresentados as fórmulas para os cálculos da perda crítica pelos dois métodos de cálculo e para as demandas linear e iso-elásticas. Novamente com </w:t>
      </w:r>
      <w:r w:rsidRPr="009D408F">
        <w:rPr>
          <w:rFonts w:asciiTheme="majorHAnsi" w:hAnsiTheme="majorHAnsi"/>
          <w:bCs/>
          <w:position w:val="-28"/>
          <w:sz w:val="24"/>
          <w:szCs w:val="24"/>
        </w:rPr>
        <w:object w:dxaOrig="1540" w:dyaOrig="660">
          <v:shape id="_x0000_i1030" type="#_x0000_t75" style="width:77.25pt;height:33pt" o:ole="">
            <v:imagedata r:id="rId15" o:title=""/>
          </v:shape>
          <o:OLEObject Type="Embed" ProgID="Equation.3" ShapeID="_x0000_i1030" DrawAspect="Content" ObjectID="_1333214581" r:id="rId17"/>
        </w:object>
      </w:r>
      <w:r w:rsidRPr="009D408F">
        <w:rPr>
          <w:rFonts w:asciiTheme="majorHAnsi" w:hAnsiTheme="majorHAnsi"/>
          <w:bCs/>
          <w:i/>
          <w:sz w:val="24"/>
          <w:szCs w:val="24"/>
        </w:rPr>
        <w:t>,</w:t>
      </w:r>
      <w:r w:rsidRPr="009D408F">
        <w:rPr>
          <w:rFonts w:asciiTheme="majorHAnsi" w:hAnsiTheme="majorHAnsi"/>
          <w:bCs/>
          <w:sz w:val="24"/>
          <w:szCs w:val="24"/>
        </w:rPr>
        <w:t xml:space="preserve"> </w:t>
      </w:r>
      <w:r w:rsidRPr="009D408F">
        <w:rPr>
          <w:rFonts w:asciiTheme="majorHAnsi" w:hAnsiTheme="majorHAnsi"/>
          <w:bCs/>
          <w:i/>
          <w:sz w:val="24"/>
          <w:szCs w:val="24"/>
        </w:rPr>
        <w:t>p</w:t>
      </w:r>
      <w:r w:rsidRPr="009D408F">
        <w:rPr>
          <w:rFonts w:asciiTheme="majorHAnsi" w:hAnsiTheme="majorHAnsi"/>
          <w:bCs/>
          <w:sz w:val="24"/>
          <w:szCs w:val="24"/>
        </w:rPr>
        <w:t xml:space="preserve"> o preço do bem,  </w:t>
      </w:r>
      <w:r w:rsidRPr="009D408F">
        <w:rPr>
          <w:rFonts w:asciiTheme="majorHAnsi" w:hAnsiTheme="majorHAnsi"/>
          <w:bCs/>
          <w:i/>
          <w:sz w:val="24"/>
          <w:szCs w:val="24"/>
        </w:rPr>
        <w:t>cvme</w:t>
      </w:r>
      <w:r w:rsidRPr="009D408F">
        <w:rPr>
          <w:rFonts w:asciiTheme="majorHAnsi" w:hAnsiTheme="majorHAnsi"/>
          <w:bCs/>
          <w:sz w:val="24"/>
          <w:szCs w:val="24"/>
        </w:rPr>
        <w:t xml:space="preserve"> o custo variável médio e </w:t>
      </w:r>
      <w:r w:rsidRPr="009D408F">
        <w:rPr>
          <w:rFonts w:asciiTheme="majorHAnsi" w:hAnsiTheme="majorHAnsi"/>
          <w:bCs/>
          <w:i/>
          <w:sz w:val="24"/>
          <w:szCs w:val="24"/>
        </w:rPr>
        <w:t>t</w:t>
      </w:r>
      <w:r w:rsidRPr="009D408F">
        <w:rPr>
          <w:rFonts w:asciiTheme="majorHAnsi" w:hAnsiTheme="majorHAnsi"/>
          <w:bCs/>
          <w:sz w:val="24"/>
          <w:szCs w:val="24"/>
        </w:rPr>
        <w:t xml:space="preserve"> o aumento de preço percentual suposto.</w:t>
      </w:r>
    </w:p>
    <w:p w:rsidR="00FB2448" w:rsidRPr="009D408F" w:rsidRDefault="00FB2448" w:rsidP="008D6127">
      <w:pPr>
        <w:pStyle w:val="Legenda"/>
        <w:keepNext/>
        <w:jc w:val="center"/>
        <w:rPr>
          <w:rFonts w:asciiTheme="majorHAnsi" w:hAnsiTheme="majorHAnsi"/>
          <w:sz w:val="24"/>
          <w:szCs w:val="24"/>
        </w:rPr>
      </w:pPr>
      <w:bookmarkStart w:id="5" w:name="_Toc254855168"/>
      <w:r w:rsidRPr="009D408F">
        <w:rPr>
          <w:rFonts w:asciiTheme="majorHAnsi" w:hAnsiTheme="majorHAnsi"/>
          <w:sz w:val="24"/>
          <w:szCs w:val="24"/>
        </w:rPr>
        <w:t xml:space="preserve">Figura </w:t>
      </w:r>
      <w:r w:rsidR="00BD69DB" w:rsidRPr="009D408F">
        <w:rPr>
          <w:rFonts w:asciiTheme="majorHAnsi" w:hAnsiTheme="majorHAnsi"/>
          <w:sz w:val="24"/>
          <w:szCs w:val="24"/>
        </w:rPr>
        <w:fldChar w:fldCharType="begin"/>
      </w:r>
      <w:r w:rsidRPr="009D408F">
        <w:rPr>
          <w:rFonts w:asciiTheme="majorHAnsi" w:hAnsiTheme="majorHAnsi"/>
          <w:sz w:val="24"/>
          <w:szCs w:val="24"/>
        </w:rPr>
        <w:instrText xml:space="preserve"> SEQ Figura \* ARABIC </w:instrText>
      </w:r>
      <w:r w:rsidR="00BD69DB" w:rsidRPr="009D408F">
        <w:rPr>
          <w:rFonts w:asciiTheme="majorHAnsi" w:hAnsiTheme="majorHAnsi"/>
          <w:sz w:val="24"/>
          <w:szCs w:val="24"/>
        </w:rPr>
        <w:fldChar w:fldCharType="separate"/>
      </w:r>
      <w:r w:rsidRPr="009D408F">
        <w:rPr>
          <w:rFonts w:asciiTheme="majorHAnsi" w:hAnsiTheme="majorHAnsi"/>
          <w:noProof/>
          <w:sz w:val="24"/>
          <w:szCs w:val="24"/>
        </w:rPr>
        <w:t>4</w:t>
      </w:r>
      <w:r w:rsidR="00BD69DB" w:rsidRPr="009D408F">
        <w:rPr>
          <w:rFonts w:asciiTheme="majorHAnsi" w:hAnsiTheme="majorHAnsi"/>
          <w:sz w:val="24"/>
          <w:szCs w:val="24"/>
        </w:rPr>
        <w:fldChar w:fldCharType="end"/>
      </w:r>
      <w:r w:rsidRPr="009D408F">
        <w:rPr>
          <w:rFonts w:asciiTheme="majorHAnsi" w:hAnsiTheme="majorHAnsi"/>
          <w:sz w:val="24"/>
          <w:szCs w:val="24"/>
        </w:rPr>
        <w:t xml:space="preserve"> – Perda Crítica de vendas para a determinação de mercado relevante</w:t>
      </w:r>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9"/>
        <w:gridCol w:w="2528"/>
        <w:gridCol w:w="2479"/>
      </w:tblGrid>
      <w:tr w:rsidR="00FB2448" w:rsidRPr="009D408F" w:rsidTr="005135F6">
        <w:trPr>
          <w:trHeight w:val="588"/>
          <w:jc w:val="center"/>
        </w:trPr>
        <w:tc>
          <w:tcPr>
            <w:tcW w:w="3699" w:type="dxa"/>
            <w:vAlign w:val="center"/>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t>Formato da Curva de Demanda</w:t>
            </w:r>
          </w:p>
        </w:tc>
        <w:tc>
          <w:tcPr>
            <w:tcW w:w="2528" w:type="dxa"/>
            <w:vAlign w:val="center"/>
          </w:tcPr>
          <w:p w:rsidR="00FB2448" w:rsidRPr="009D408F" w:rsidRDefault="00FB2448" w:rsidP="008D6127">
            <w:pPr>
              <w:tabs>
                <w:tab w:val="center" w:pos="1174"/>
              </w:tabs>
              <w:spacing w:line="240" w:lineRule="auto"/>
              <w:jc w:val="center"/>
              <w:rPr>
                <w:rFonts w:asciiTheme="majorHAnsi" w:hAnsiTheme="majorHAnsi"/>
                <w:b/>
                <w:bCs/>
                <w:sz w:val="24"/>
                <w:szCs w:val="24"/>
              </w:rPr>
            </w:pPr>
            <w:r w:rsidRPr="009D408F">
              <w:rPr>
                <w:rFonts w:asciiTheme="majorHAnsi" w:hAnsiTheme="majorHAnsi"/>
                <w:b/>
                <w:bCs/>
                <w:sz w:val="24"/>
                <w:szCs w:val="24"/>
              </w:rPr>
              <w:t>Maximização de lucros</w:t>
            </w:r>
          </w:p>
        </w:tc>
        <w:tc>
          <w:tcPr>
            <w:tcW w:w="2479" w:type="dxa"/>
            <w:vAlign w:val="center"/>
          </w:tcPr>
          <w:p w:rsidR="00FB2448" w:rsidRPr="009D408F" w:rsidRDefault="00FB2448" w:rsidP="008D6127">
            <w:pPr>
              <w:tabs>
                <w:tab w:val="center" w:pos="1174"/>
              </w:tabs>
              <w:spacing w:line="240" w:lineRule="auto"/>
              <w:jc w:val="center"/>
              <w:rPr>
                <w:rFonts w:asciiTheme="majorHAnsi" w:hAnsiTheme="majorHAnsi"/>
                <w:b/>
                <w:bCs/>
                <w:sz w:val="24"/>
                <w:szCs w:val="24"/>
              </w:rPr>
            </w:pPr>
            <w:r w:rsidRPr="009D408F">
              <w:rPr>
                <w:rFonts w:asciiTheme="majorHAnsi" w:hAnsiTheme="majorHAnsi"/>
                <w:b/>
                <w:bCs/>
                <w:sz w:val="24"/>
                <w:szCs w:val="24"/>
              </w:rPr>
              <w:t>Breakeven</w:t>
            </w:r>
          </w:p>
        </w:tc>
      </w:tr>
      <w:tr w:rsidR="00FB2448" w:rsidRPr="009D408F" w:rsidTr="005135F6">
        <w:trPr>
          <w:trHeight w:val="623"/>
          <w:jc w:val="center"/>
        </w:trPr>
        <w:tc>
          <w:tcPr>
            <w:tcW w:w="3699"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t>Linear</w:t>
            </w:r>
          </w:p>
        </w:tc>
        <w:tc>
          <w:tcPr>
            <w:tcW w:w="2528"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t xml:space="preserve"> </w:t>
            </w:r>
            <w:r w:rsidRPr="009D408F">
              <w:rPr>
                <w:rFonts w:asciiTheme="majorHAnsi" w:hAnsiTheme="majorHAnsi"/>
                <w:b/>
                <w:bCs/>
                <w:position w:val="-24"/>
                <w:sz w:val="24"/>
                <w:szCs w:val="24"/>
              </w:rPr>
              <w:object w:dxaOrig="720" w:dyaOrig="620">
                <v:shape id="_x0000_i1031" type="#_x0000_t75" style="width:36pt;height:30.75pt" o:ole="">
                  <v:imagedata r:id="rId18" o:title=""/>
                </v:shape>
                <o:OLEObject Type="Embed" ProgID="Equation.3" ShapeID="_x0000_i1031" DrawAspect="Content" ObjectID="_1333214582" r:id="rId19"/>
              </w:object>
            </w:r>
          </w:p>
        </w:tc>
        <w:tc>
          <w:tcPr>
            <w:tcW w:w="2479"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position w:val="-24"/>
                <w:sz w:val="24"/>
                <w:szCs w:val="24"/>
              </w:rPr>
              <w:object w:dxaOrig="600" w:dyaOrig="620">
                <v:shape id="_x0000_i1032" type="#_x0000_t75" style="width:30pt;height:30.75pt" o:ole="">
                  <v:imagedata r:id="rId20" o:title=""/>
                </v:shape>
                <o:OLEObject Type="Embed" ProgID="Equation.3" ShapeID="_x0000_i1032" DrawAspect="Content" ObjectID="_1333214583" r:id="rId21"/>
              </w:object>
            </w:r>
          </w:p>
        </w:tc>
      </w:tr>
      <w:tr w:rsidR="00FB2448" w:rsidRPr="009D408F" w:rsidTr="005135F6">
        <w:trPr>
          <w:trHeight w:val="623"/>
          <w:jc w:val="center"/>
        </w:trPr>
        <w:tc>
          <w:tcPr>
            <w:tcW w:w="3699"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sz w:val="24"/>
                <w:szCs w:val="24"/>
              </w:rPr>
              <w:t>Isoelástica</w:t>
            </w:r>
          </w:p>
        </w:tc>
        <w:tc>
          <w:tcPr>
            <w:tcW w:w="2528"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position w:val="-10"/>
                <w:sz w:val="24"/>
                <w:szCs w:val="24"/>
              </w:rPr>
              <w:object w:dxaOrig="1200" w:dyaOrig="540">
                <v:shape id="_x0000_i1033" type="#_x0000_t75" style="width:60pt;height:27pt" o:ole="">
                  <v:imagedata r:id="rId22" o:title=""/>
                </v:shape>
                <o:OLEObject Type="Embed" ProgID="Equation.3" ShapeID="_x0000_i1033" DrawAspect="Content" ObjectID="_1333214584" r:id="rId23"/>
              </w:object>
            </w:r>
          </w:p>
        </w:tc>
        <w:tc>
          <w:tcPr>
            <w:tcW w:w="2479" w:type="dxa"/>
          </w:tcPr>
          <w:p w:rsidR="00FB2448" w:rsidRPr="009D408F" w:rsidRDefault="00FB2448" w:rsidP="008D6127">
            <w:pPr>
              <w:spacing w:line="240" w:lineRule="auto"/>
              <w:jc w:val="center"/>
              <w:rPr>
                <w:rFonts w:asciiTheme="majorHAnsi" w:hAnsiTheme="majorHAnsi"/>
                <w:b/>
                <w:bCs/>
                <w:sz w:val="24"/>
                <w:szCs w:val="24"/>
              </w:rPr>
            </w:pPr>
            <w:r w:rsidRPr="009D408F">
              <w:rPr>
                <w:rFonts w:asciiTheme="majorHAnsi" w:hAnsiTheme="majorHAnsi"/>
                <w:b/>
                <w:bCs/>
                <w:position w:val="-24"/>
                <w:sz w:val="24"/>
                <w:szCs w:val="24"/>
              </w:rPr>
              <w:object w:dxaOrig="600" w:dyaOrig="620">
                <v:shape id="_x0000_i1034" type="#_x0000_t75" style="width:30pt;height:30.75pt" o:ole="">
                  <v:imagedata r:id="rId24" o:title=""/>
                </v:shape>
                <o:OLEObject Type="Embed" ProgID="Equation.3" ShapeID="_x0000_i1034" DrawAspect="Content" ObjectID="_1333214585" r:id="rId25"/>
              </w:object>
            </w:r>
          </w:p>
        </w:tc>
      </w:tr>
    </w:tbl>
    <w:p w:rsidR="00FB2448" w:rsidRPr="009D408F" w:rsidRDefault="00FB2448" w:rsidP="008D6127">
      <w:pPr>
        <w:spacing w:line="240" w:lineRule="auto"/>
        <w:jc w:val="both"/>
        <w:rPr>
          <w:rFonts w:asciiTheme="majorHAnsi" w:hAnsiTheme="majorHAnsi"/>
          <w:bCs/>
          <w:sz w:val="24"/>
          <w:szCs w:val="24"/>
        </w:rPr>
      </w:pPr>
      <w:r w:rsidRPr="009D408F">
        <w:rPr>
          <w:rFonts w:asciiTheme="majorHAnsi" w:hAnsiTheme="majorHAnsi"/>
          <w:bCs/>
          <w:sz w:val="24"/>
          <w:szCs w:val="24"/>
        </w:rPr>
        <w:t>Fonte: Werden (2003)</w:t>
      </w:r>
    </w:p>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t>A principal vantagem do método da perda crítica, em relação ao da elasticidade crítica, é não depender de qualquer teoria sobre o comportamento da firma ou sobre o padrão de concorrência vigente no mercado, mas apenas da elasticidade da demanda pelos produtos ofertados pela firma (Scheffman e Simons, 2003).</w:t>
      </w:r>
    </w:p>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t xml:space="preserve">Conforme Harris e Veljanovski (2003), a análise de perda crítica permite a correção das deficiências de abordagens com definição de mercado relevante que focam excessivamente em características de produtos e nas diferenças absolutas de preços, ignorando lucratividade de aumentos de preços hipotéticos. De acordo com os autores, apesar da popularidade do teste de perda crítica nos Estados Unidos, na Europa era ainda pouco utilizado na data do estudo. </w:t>
      </w:r>
    </w:p>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t xml:space="preserve">Werden (1998) observa que a fórmula que calcula a perda crítica, segundo o critério de </w:t>
      </w:r>
      <w:r w:rsidRPr="009D408F">
        <w:rPr>
          <w:rFonts w:asciiTheme="majorHAnsi" w:hAnsiTheme="majorHAnsi"/>
          <w:i/>
          <w:color w:val="000000"/>
          <w:sz w:val="24"/>
          <w:szCs w:val="24"/>
        </w:rPr>
        <w:t>breakeven</w:t>
      </w:r>
      <w:r w:rsidRPr="009D408F">
        <w:rPr>
          <w:rFonts w:asciiTheme="majorHAnsi" w:hAnsiTheme="majorHAnsi"/>
          <w:color w:val="000000"/>
          <w:sz w:val="24"/>
          <w:szCs w:val="24"/>
        </w:rPr>
        <w:t xml:space="preserve">, é invariante com relação à forma funcional escolhida para a demanda, corresponde ao </w:t>
      </w:r>
      <w:r w:rsidRPr="009D408F">
        <w:rPr>
          <w:rFonts w:asciiTheme="majorHAnsi" w:hAnsiTheme="majorHAnsi"/>
          <w:i/>
          <w:color w:val="000000"/>
          <w:sz w:val="24"/>
          <w:szCs w:val="24"/>
        </w:rPr>
        <w:t>percentual de perda de vendas em quantidade</w:t>
      </w:r>
      <w:r w:rsidRPr="009D408F">
        <w:rPr>
          <w:rFonts w:asciiTheme="majorHAnsi" w:hAnsiTheme="majorHAnsi"/>
          <w:color w:val="000000"/>
          <w:sz w:val="24"/>
          <w:szCs w:val="24"/>
        </w:rPr>
        <w:t xml:space="preserve"> =</w:t>
      </w:r>
      <w:r w:rsidRPr="009D408F">
        <w:rPr>
          <w:rFonts w:asciiTheme="majorHAnsi" w:hAnsiTheme="majorHAnsi"/>
          <w:color w:val="000000"/>
          <w:position w:val="-24"/>
          <w:sz w:val="24"/>
          <w:szCs w:val="24"/>
        </w:rPr>
        <w:object w:dxaOrig="580" w:dyaOrig="620">
          <v:shape id="_x0000_i1035" type="#_x0000_t75" style="width:28.5pt;height:31.5pt" o:ole="">
            <v:imagedata r:id="rId26" o:title=""/>
          </v:shape>
          <o:OLEObject Type="Embed" ProgID="Equation.3" ShapeID="_x0000_i1035" DrawAspect="Content" ObjectID="_1333214586" r:id="rId27"/>
        </w:object>
      </w:r>
      <w:r w:rsidRPr="009D408F">
        <w:rPr>
          <w:rFonts w:asciiTheme="majorHAnsi" w:hAnsiTheme="majorHAnsi"/>
          <w:color w:val="000000"/>
          <w:sz w:val="24"/>
          <w:szCs w:val="24"/>
        </w:rPr>
        <w:t xml:space="preserve">, conforme visto na figura acima. Esse resultado mostra uma vantagem do teste da perda crítica em relação ao teste da elasticidade crítica, conforme já sugerido implicitamente, </w:t>
      </w:r>
      <w:r w:rsidR="005135F6">
        <w:rPr>
          <w:rFonts w:asciiTheme="majorHAnsi" w:hAnsiTheme="majorHAnsi"/>
          <w:color w:val="000000"/>
          <w:sz w:val="24"/>
          <w:szCs w:val="24"/>
        </w:rPr>
        <w:t xml:space="preserve">na medida em que </w:t>
      </w:r>
      <w:r w:rsidRPr="009D408F">
        <w:rPr>
          <w:rFonts w:asciiTheme="majorHAnsi" w:hAnsiTheme="majorHAnsi"/>
          <w:color w:val="000000"/>
          <w:sz w:val="24"/>
          <w:szCs w:val="24"/>
        </w:rPr>
        <w:t xml:space="preserve">não depende da forma funcional da demanda do mercado em questão. </w:t>
      </w:r>
    </w:p>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t xml:space="preserve">Para proceder na execução deste teste é necessário ainda comparar o valor da perda crítica calculado, conforme figura acima e usando informações de preços e custos do setor, com o valor da perda crítica estimada a partir das estimativas de demanda (perda crítica efetiva). Este último valor corresponde a </w:t>
      </w:r>
      <w:r w:rsidRPr="009D408F">
        <w:rPr>
          <w:rFonts w:asciiTheme="majorHAnsi" w:hAnsiTheme="majorHAnsi"/>
          <w:i/>
          <w:color w:val="000000"/>
          <w:sz w:val="24"/>
          <w:szCs w:val="24"/>
        </w:rPr>
        <w:t>t</w:t>
      </w:r>
      <w:r w:rsidRPr="009D408F">
        <w:rPr>
          <w:rFonts w:asciiTheme="majorHAnsi" w:hAnsiTheme="majorHAnsi"/>
          <w:color w:val="000000"/>
          <w:sz w:val="24"/>
          <w:szCs w:val="24"/>
        </w:rPr>
        <w:t>, aumento percentual de preço definido, em geral 5%, vezes a elasticidade-preço própria estimada para o conjunto de produtos incluídos num mesmo candidato a mercado relevante, isto é:</w:t>
      </w:r>
    </w:p>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lastRenderedPageBreak/>
        <w:tab/>
        <w:t xml:space="preserve"> </w:t>
      </w:r>
      <m:oMath>
        <m:r>
          <w:rPr>
            <w:rFonts w:ascii="Cambria Math" w:hAnsi="Cambria Math"/>
            <w:color w:val="000000"/>
            <w:sz w:val="24"/>
            <w:szCs w:val="24"/>
          </w:rPr>
          <m:t>perda</m:t>
        </m:r>
        <m:r>
          <w:rPr>
            <w:rFonts w:ascii="Cambria Math" w:hAnsiTheme="majorHAnsi"/>
            <w:color w:val="000000"/>
            <w:sz w:val="24"/>
            <w:szCs w:val="24"/>
          </w:rPr>
          <m:t xml:space="preserve"> </m:t>
        </m:r>
        <m:r>
          <w:rPr>
            <w:rFonts w:ascii="Cambria Math" w:hAnsi="Cambria Math"/>
            <w:color w:val="000000"/>
            <w:sz w:val="24"/>
            <w:szCs w:val="24"/>
          </w:rPr>
          <m:t>cr</m:t>
        </m:r>
        <m:r>
          <w:rPr>
            <w:rFonts w:asciiTheme="majorHAnsi" w:hAnsiTheme="majorHAnsi"/>
            <w:color w:val="000000"/>
            <w:sz w:val="24"/>
            <w:szCs w:val="24"/>
          </w:rPr>
          <m:t>í</m:t>
        </m:r>
        <m:r>
          <w:rPr>
            <w:rFonts w:ascii="Cambria Math" w:hAnsi="Cambria Math"/>
            <w:color w:val="000000"/>
            <w:sz w:val="24"/>
            <w:szCs w:val="24"/>
          </w:rPr>
          <m:t>tica</m:t>
        </m:r>
        <m:r>
          <w:rPr>
            <w:rFonts w:ascii="Cambria Math" w:hAnsiTheme="majorHAnsi"/>
            <w:color w:val="000000"/>
            <w:sz w:val="24"/>
            <w:szCs w:val="24"/>
          </w:rPr>
          <m:t xml:space="preserve"> </m:t>
        </m:r>
        <m:r>
          <w:rPr>
            <w:rFonts w:ascii="Cambria Math" w:hAnsi="Cambria Math"/>
            <w:color w:val="000000"/>
            <w:sz w:val="24"/>
            <w:szCs w:val="24"/>
          </w:rPr>
          <m:t>efetiva</m:t>
        </m:r>
        <m:r>
          <w:rPr>
            <w:rFonts w:ascii="Cambria Math" w:hAnsiTheme="majorHAnsi"/>
            <w:color w:val="000000"/>
            <w:sz w:val="24"/>
            <w:szCs w:val="24"/>
          </w:rPr>
          <m:t>=</m:t>
        </m:r>
        <m:r>
          <w:rPr>
            <w:rFonts w:ascii="Cambria Math" w:hAnsi="Cambria Math"/>
            <w:color w:val="000000"/>
            <w:sz w:val="24"/>
            <w:szCs w:val="24"/>
          </w:rPr>
          <m:t>t</m:t>
        </m:r>
        <m:r>
          <w:rPr>
            <w:rFonts w:asciiTheme="majorHAnsi" w:hAnsiTheme="majorHAnsi"/>
            <w:color w:val="000000"/>
            <w:sz w:val="24"/>
            <w:szCs w:val="24"/>
          </w:rPr>
          <m:t>∙</m:t>
        </m:r>
        <m:sSub>
          <m:sSubPr>
            <m:ctrlPr>
              <w:rPr>
                <w:rFonts w:ascii="Cambria Math" w:hAnsiTheme="majorHAnsi"/>
                <w:i/>
                <w:color w:val="000000"/>
                <w:sz w:val="24"/>
                <w:szCs w:val="24"/>
              </w:rPr>
            </m:ctrlPr>
          </m:sSubPr>
          <m:e>
            <m:r>
              <w:rPr>
                <w:rFonts w:ascii="Cambria Math" w:hAnsi="Cambria Math"/>
                <w:color w:val="000000"/>
                <w:sz w:val="24"/>
                <w:szCs w:val="24"/>
              </w:rPr>
              <m:t>ε</m:t>
            </m:r>
          </m:e>
          <m:sub>
            <m:r>
              <w:rPr>
                <w:rFonts w:ascii="Cambria Math" w:hAnsi="Cambria Math"/>
                <w:color w:val="000000"/>
                <w:sz w:val="24"/>
                <w:szCs w:val="24"/>
              </w:rPr>
              <m:t>ii</m:t>
            </m:r>
          </m:sub>
        </m:sSub>
      </m:oMath>
      <w:r w:rsidR="008D6127">
        <w:rPr>
          <w:rFonts w:asciiTheme="majorHAnsi" w:hAnsiTheme="majorHAnsi"/>
          <w:color w:val="000000"/>
          <w:sz w:val="24"/>
          <w:szCs w:val="24"/>
        </w:rPr>
        <w:t xml:space="preserve">  (1)</w:t>
      </w:r>
    </w:p>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t xml:space="preserve">Sendo </w:t>
      </w:r>
      <m:oMath>
        <m:sSub>
          <m:sSubPr>
            <m:ctrlPr>
              <w:rPr>
                <w:rFonts w:ascii="Cambria Math" w:hAnsiTheme="majorHAnsi"/>
                <w:i/>
                <w:color w:val="000000"/>
                <w:sz w:val="24"/>
                <w:szCs w:val="24"/>
              </w:rPr>
            </m:ctrlPr>
          </m:sSubPr>
          <m:e>
            <m:r>
              <w:rPr>
                <w:rFonts w:ascii="Cambria Math" w:hAnsi="Cambria Math"/>
                <w:color w:val="000000"/>
                <w:sz w:val="24"/>
                <w:szCs w:val="24"/>
              </w:rPr>
              <m:t>ε</m:t>
            </m:r>
          </m:e>
          <m:sub>
            <m:r>
              <w:rPr>
                <w:rFonts w:ascii="Cambria Math" w:hAnsi="Cambria Math"/>
                <w:color w:val="000000"/>
                <w:sz w:val="24"/>
                <w:szCs w:val="24"/>
              </w:rPr>
              <m:t>ii</m:t>
            </m:r>
          </m:sub>
        </m:sSub>
      </m:oMath>
      <w:r w:rsidRPr="009D408F">
        <w:rPr>
          <w:rFonts w:asciiTheme="majorHAnsi" w:hAnsiTheme="majorHAnsi"/>
          <w:color w:val="000000"/>
          <w:sz w:val="24"/>
          <w:szCs w:val="24"/>
        </w:rPr>
        <w:t xml:space="preserve"> a elasticidade-preço própria do produto </w:t>
      </w:r>
      <w:r w:rsidRPr="009D408F">
        <w:rPr>
          <w:rFonts w:asciiTheme="majorHAnsi" w:hAnsiTheme="majorHAnsi"/>
          <w:i/>
          <w:color w:val="000000"/>
          <w:sz w:val="24"/>
          <w:szCs w:val="24"/>
        </w:rPr>
        <w:t>i</w:t>
      </w:r>
      <w:r w:rsidRPr="009D408F">
        <w:rPr>
          <w:rFonts w:asciiTheme="majorHAnsi" w:hAnsiTheme="majorHAnsi"/>
          <w:color w:val="000000"/>
          <w:sz w:val="24"/>
          <w:szCs w:val="24"/>
        </w:rPr>
        <w:t>.</w:t>
      </w:r>
    </w:p>
    <w:p w:rsidR="00FB2448" w:rsidRPr="009D408F" w:rsidRDefault="00FB2448" w:rsidP="008D6127">
      <w:pPr>
        <w:spacing w:line="240" w:lineRule="auto"/>
        <w:jc w:val="both"/>
        <w:rPr>
          <w:rFonts w:asciiTheme="majorHAnsi" w:hAnsiTheme="majorHAnsi"/>
          <w:color w:val="000000"/>
          <w:sz w:val="24"/>
          <w:szCs w:val="24"/>
        </w:rPr>
      </w:pPr>
      <w:r w:rsidRPr="009D408F">
        <w:rPr>
          <w:rFonts w:asciiTheme="majorHAnsi" w:hAnsiTheme="majorHAnsi"/>
          <w:color w:val="000000"/>
          <w:sz w:val="24"/>
          <w:szCs w:val="24"/>
        </w:rPr>
        <w:t>Deste modo, se o valor da perda crítica, calculado por algum dos critérios mostrado na figura acima, exceder o valor a perda cr</w:t>
      </w:r>
      <w:r w:rsidR="008D6127">
        <w:rPr>
          <w:rFonts w:asciiTheme="majorHAnsi" w:hAnsiTheme="majorHAnsi"/>
          <w:color w:val="000000"/>
          <w:sz w:val="24"/>
          <w:szCs w:val="24"/>
        </w:rPr>
        <w:t>ítica efetiva, mostrada em (</w:t>
      </w:r>
      <w:r w:rsidRPr="009D408F">
        <w:rPr>
          <w:rFonts w:asciiTheme="majorHAnsi" w:hAnsiTheme="majorHAnsi"/>
          <w:color w:val="000000"/>
          <w:sz w:val="24"/>
          <w:szCs w:val="24"/>
        </w:rPr>
        <w:t xml:space="preserve">1), o mercado relevante previamente definido deve ser reduzido. No caso contrário, deverá ser ampliado. Note que no caso das duas medidas diferirem significativamente, isto acarretará a necessidade de redefinir o mercado relevante candidato e proceder as novas estimativas econométricas. O mercado relevante estará definido adequadamente quando as duas medidas de perda crítica, a calculada e a estimada coincidirem. </w:t>
      </w:r>
    </w:p>
    <w:p w:rsidR="009C2744" w:rsidRPr="009D408F" w:rsidRDefault="009C2744" w:rsidP="008D6127">
      <w:pPr>
        <w:spacing w:after="0" w:line="240" w:lineRule="auto"/>
        <w:jc w:val="both"/>
        <w:rPr>
          <w:rFonts w:asciiTheme="majorHAnsi" w:hAnsiTheme="majorHAnsi"/>
          <w:sz w:val="24"/>
          <w:szCs w:val="24"/>
        </w:rPr>
      </w:pPr>
    </w:p>
    <w:p w:rsidR="006E3683" w:rsidRPr="00716C95" w:rsidRDefault="008D6127" w:rsidP="008D6127">
      <w:pPr>
        <w:spacing w:after="0" w:line="240" w:lineRule="auto"/>
        <w:jc w:val="both"/>
        <w:rPr>
          <w:rFonts w:asciiTheme="majorHAnsi" w:hAnsiTheme="majorHAnsi"/>
          <w:b/>
          <w:sz w:val="24"/>
          <w:szCs w:val="24"/>
        </w:rPr>
      </w:pPr>
      <w:r w:rsidRPr="00716C95">
        <w:rPr>
          <w:rFonts w:asciiTheme="majorHAnsi" w:hAnsiTheme="majorHAnsi"/>
          <w:b/>
          <w:sz w:val="24"/>
          <w:szCs w:val="24"/>
        </w:rPr>
        <w:t>5. Conclusões</w:t>
      </w:r>
    </w:p>
    <w:p w:rsidR="00AF53CA" w:rsidRDefault="00D749BA" w:rsidP="008D6127">
      <w:pPr>
        <w:spacing w:after="0" w:line="240" w:lineRule="auto"/>
        <w:jc w:val="both"/>
        <w:rPr>
          <w:rFonts w:asciiTheme="majorHAnsi" w:hAnsiTheme="majorHAnsi"/>
          <w:sz w:val="24"/>
          <w:szCs w:val="24"/>
        </w:rPr>
      </w:pPr>
      <w:r>
        <w:rPr>
          <w:rFonts w:asciiTheme="majorHAnsi" w:hAnsiTheme="majorHAnsi"/>
          <w:sz w:val="24"/>
          <w:szCs w:val="24"/>
        </w:rPr>
        <w:t>O cálculo da elasticidade crítica bem como da perda crítica e as suas comparações com respectivamente a elasticidade efetiva estimada e a perda crítica efetiva se utilizam exatamente dos mesmos insumos: elasticidades efetivas estimadas e margem bruta de lucros. Deste modo, o custo marginal do cálculo de uma</w:t>
      </w:r>
      <w:r w:rsidR="005135F6">
        <w:rPr>
          <w:rFonts w:asciiTheme="majorHAnsi" w:hAnsiTheme="majorHAnsi"/>
          <w:sz w:val="24"/>
          <w:szCs w:val="24"/>
        </w:rPr>
        <w:t>,</w:t>
      </w:r>
      <w:r>
        <w:rPr>
          <w:rFonts w:asciiTheme="majorHAnsi" w:hAnsiTheme="majorHAnsi"/>
          <w:sz w:val="24"/>
          <w:szCs w:val="24"/>
        </w:rPr>
        <w:t xml:space="preserve"> dado que outro teste já foi feito</w:t>
      </w:r>
      <w:r w:rsidR="005135F6">
        <w:rPr>
          <w:rFonts w:asciiTheme="majorHAnsi" w:hAnsiTheme="majorHAnsi"/>
          <w:sz w:val="24"/>
          <w:szCs w:val="24"/>
        </w:rPr>
        <w:t>,</w:t>
      </w:r>
      <w:r>
        <w:rPr>
          <w:rFonts w:asciiTheme="majorHAnsi" w:hAnsiTheme="majorHAnsi"/>
          <w:sz w:val="24"/>
          <w:szCs w:val="24"/>
        </w:rPr>
        <w:t xml:space="preserve"> é praticamente nulo.</w:t>
      </w:r>
    </w:p>
    <w:p w:rsidR="00453275" w:rsidRDefault="00BE5796" w:rsidP="008D6127">
      <w:pPr>
        <w:spacing w:after="0" w:line="240" w:lineRule="auto"/>
        <w:jc w:val="both"/>
        <w:rPr>
          <w:rFonts w:asciiTheme="majorHAnsi" w:hAnsiTheme="majorHAnsi"/>
          <w:sz w:val="24"/>
          <w:szCs w:val="24"/>
        </w:rPr>
      </w:pPr>
      <w:r>
        <w:rPr>
          <w:rFonts w:asciiTheme="majorHAnsi" w:hAnsiTheme="majorHAnsi"/>
          <w:sz w:val="24"/>
          <w:szCs w:val="24"/>
        </w:rPr>
        <w:t>A conjugação destes dois testes permite que se avalie o grau de adequação do grupo candidato à mercado relevante com (teste de elasticidade crítica) e sem (teste de perda crítica) hipóteses de estruturas de mercados definidas.</w:t>
      </w:r>
    </w:p>
    <w:p w:rsidR="00BE5796" w:rsidRDefault="00453275" w:rsidP="008D6127">
      <w:pPr>
        <w:spacing w:after="0" w:line="240" w:lineRule="auto"/>
        <w:jc w:val="both"/>
        <w:rPr>
          <w:rFonts w:asciiTheme="majorHAnsi" w:hAnsiTheme="majorHAnsi"/>
          <w:sz w:val="24"/>
          <w:szCs w:val="24"/>
        </w:rPr>
      </w:pPr>
      <w:r>
        <w:rPr>
          <w:rFonts w:asciiTheme="majorHAnsi" w:hAnsiTheme="majorHAnsi"/>
          <w:sz w:val="24"/>
          <w:szCs w:val="24"/>
        </w:rPr>
        <w:t xml:space="preserve">Adicionalmente, o uso dos testes </w:t>
      </w:r>
      <w:r w:rsidR="005135F6">
        <w:rPr>
          <w:rFonts w:asciiTheme="majorHAnsi" w:hAnsiTheme="majorHAnsi"/>
          <w:sz w:val="24"/>
          <w:szCs w:val="24"/>
        </w:rPr>
        <w:t>empregando</w:t>
      </w:r>
      <w:r>
        <w:rPr>
          <w:rFonts w:asciiTheme="majorHAnsi" w:hAnsiTheme="majorHAnsi"/>
          <w:sz w:val="24"/>
          <w:szCs w:val="24"/>
        </w:rPr>
        <w:t xml:space="preserve"> o </w:t>
      </w:r>
      <w:r w:rsidRPr="005135F6">
        <w:rPr>
          <w:rFonts w:asciiTheme="majorHAnsi" w:hAnsiTheme="majorHAnsi"/>
          <w:i/>
          <w:sz w:val="24"/>
          <w:szCs w:val="24"/>
        </w:rPr>
        <w:t>breakeven</w:t>
      </w:r>
      <w:r>
        <w:rPr>
          <w:rFonts w:asciiTheme="majorHAnsi" w:hAnsiTheme="majorHAnsi"/>
          <w:sz w:val="24"/>
          <w:szCs w:val="24"/>
        </w:rPr>
        <w:t xml:space="preserve"> deixa a análise robusta à forma funcional do sistema de demanda definido para o cálculo das elasticidades. </w:t>
      </w:r>
      <w:r w:rsidR="00BE5796">
        <w:rPr>
          <w:rFonts w:asciiTheme="majorHAnsi" w:hAnsiTheme="majorHAnsi"/>
          <w:sz w:val="24"/>
          <w:szCs w:val="24"/>
        </w:rPr>
        <w:t xml:space="preserve"> </w:t>
      </w:r>
    </w:p>
    <w:p w:rsidR="00AF53CA" w:rsidRDefault="00001F53" w:rsidP="008D6127">
      <w:pPr>
        <w:spacing w:after="0" w:line="240" w:lineRule="auto"/>
        <w:jc w:val="both"/>
        <w:rPr>
          <w:rFonts w:asciiTheme="majorHAnsi" w:hAnsiTheme="majorHAnsi"/>
          <w:sz w:val="24"/>
          <w:szCs w:val="24"/>
        </w:rPr>
      </w:pPr>
      <w:r>
        <w:rPr>
          <w:rFonts w:asciiTheme="majorHAnsi" w:hAnsiTheme="majorHAnsi"/>
          <w:sz w:val="24"/>
          <w:szCs w:val="24"/>
        </w:rPr>
        <w:t>Por fim, e</w:t>
      </w:r>
      <w:r w:rsidR="00AF53CA">
        <w:rPr>
          <w:rFonts w:asciiTheme="majorHAnsi" w:hAnsiTheme="majorHAnsi"/>
          <w:sz w:val="24"/>
          <w:szCs w:val="24"/>
        </w:rPr>
        <w:t xml:space="preserve">stes testes permitem uma medida </w:t>
      </w:r>
      <w:r w:rsidR="00655087">
        <w:rPr>
          <w:rFonts w:asciiTheme="majorHAnsi" w:hAnsiTheme="majorHAnsi"/>
          <w:sz w:val="24"/>
          <w:szCs w:val="24"/>
        </w:rPr>
        <w:t>rápida de avaliar o grau de adequação de um grupo de produtos, com demandas estimadas, como mercado relevante</w:t>
      </w:r>
      <w:r w:rsidR="005135F6">
        <w:rPr>
          <w:rFonts w:asciiTheme="majorHAnsi" w:hAnsiTheme="majorHAnsi"/>
          <w:sz w:val="24"/>
          <w:szCs w:val="24"/>
        </w:rPr>
        <w:t>, i</w:t>
      </w:r>
      <w:r w:rsidR="00716C95">
        <w:rPr>
          <w:rFonts w:asciiTheme="majorHAnsi" w:hAnsiTheme="majorHAnsi"/>
          <w:sz w:val="24"/>
          <w:szCs w:val="24"/>
        </w:rPr>
        <w:t>mplementando de maneira eficaz o teste do monopolista hipotético.</w:t>
      </w:r>
      <w:r w:rsidR="00655087">
        <w:rPr>
          <w:rFonts w:asciiTheme="majorHAnsi" w:hAnsiTheme="majorHAnsi"/>
          <w:sz w:val="24"/>
          <w:szCs w:val="24"/>
        </w:rPr>
        <w:t xml:space="preserve"> </w:t>
      </w:r>
    </w:p>
    <w:p w:rsidR="003F7588" w:rsidRDefault="003F7588" w:rsidP="008D6127">
      <w:pPr>
        <w:spacing w:after="0" w:line="240" w:lineRule="auto"/>
        <w:jc w:val="both"/>
        <w:rPr>
          <w:rFonts w:asciiTheme="majorHAnsi" w:hAnsiTheme="majorHAnsi"/>
          <w:sz w:val="24"/>
          <w:szCs w:val="24"/>
        </w:rPr>
      </w:pPr>
    </w:p>
    <w:p w:rsidR="003F7588" w:rsidRPr="0077189F" w:rsidRDefault="003F7588" w:rsidP="008D6127">
      <w:pPr>
        <w:spacing w:after="0" w:line="240" w:lineRule="auto"/>
        <w:jc w:val="both"/>
        <w:rPr>
          <w:rFonts w:asciiTheme="majorHAnsi" w:hAnsiTheme="majorHAnsi"/>
          <w:b/>
          <w:sz w:val="24"/>
          <w:szCs w:val="24"/>
        </w:rPr>
      </w:pPr>
      <w:r w:rsidRPr="0077189F">
        <w:rPr>
          <w:rFonts w:asciiTheme="majorHAnsi" w:hAnsiTheme="majorHAnsi"/>
          <w:b/>
          <w:sz w:val="24"/>
          <w:szCs w:val="24"/>
        </w:rPr>
        <w:t>6. Referências Bibliográficas</w:t>
      </w:r>
    </w:p>
    <w:p w:rsidR="00874D9A" w:rsidRPr="0077189F" w:rsidRDefault="00874D9A" w:rsidP="008D6127">
      <w:pPr>
        <w:spacing w:after="0" w:line="240" w:lineRule="auto"/>
        <w:jc w:val="both"/>
        <w:rPr>
          <w:rFonts w:asciiTheme="majorHAnsi" w:hAnsiTheme="majorHAnsi"/>
          <w:sz w:val="24"/>
          <w:szCs w:val="24"/>
        </w:rPr>
      </w:pPr>
    </w:p>
    <w:p w:rsidR="001F07F4" w:rsidRDefault="001F07F4" w:rsidP="00874D9A">
      <w:pPr>
        <w:spacing w:after="0" w:line="240" w:lineRule="auto"/>
        <w:jc w:val="both"/>
        <w:rPr>
          <w:rFonts w:asciiTheme="majorHAnsi" w:hAnsiTheme="majorHAnsi"/>
          <w:sz w:val="24"/>
          <w:szCs w:val="24"/>
          <w:lang w:val="en-US"/>
        </w:rPr>
      </w:pPr>
      <w:r w:rsidRPr="001F07F4">
        <w:rPr>
          <w:rFonts w:asciiTheme="majorHAnsi" w:hAnsiTheme="majorHAnsi"/>
          <w:sz w:val="24"/>
          <w:szCs w:val="24"/>
          <w:lang w:val="en-US"/>
        </w:rPr>
        <w:t>Harris, B and J Simons (1989). “Focusing Market Definitions: How Much Substitution is Necessary?”. Research in Law and Economics, vol. 12.</w:t>
      </w:r>
    </w:p>
    <w:p w:rsidR="001F07F4" w:rsidRDefault="001F07F4" w:rsidP="00874D9A">
      <w:pPr>
        <w:spacing w:after="0" w:line="240" w:lineRule="auto"/>
        <w:jc w:val="both"/>
        <w:rPr>
          <w:rFonts w:asciiTheme="majorHAnsi" w:hAnsiTheme="majorHAnsi"/>
          <w:sz w:val="24"/>
          <w:szCs w:val="24"/>
          <w:lang w:val="en-US"/>
        </w:rPr>
      </w:pPr>
    </w:p>
    <w:p w:rsidR="00874D9A" w:rsidRDefault="00874D9A" w:rsidP="00874D9A">
      <w:pPr>
        <w:spacing w:after="0" w:line="240" w:lineRule="auto"/>
        <w:jc w:val="both"/>
        <w:rPr>
          <w:rFonts w:asciiTheme="majorHAnsi" w:hAnsiTheme="majorHAnsi"/>
          <w:sz w:val="24"/>
          <w:szCs w:val="24"/>
        </w:rPr>
      </w:pPr>
      <w:r w:rsidRPr="003F7588">
        <w:rPr>
          <w:rFonts w:asciiTheme="majorHAnsi" w:hAnsiTheme="majorHAnsi"/>
          <w:sz w:val="24"/>
          <w:szCs w:val="24"/>
          <w:lang w:val="en-US"/>
        </w:rPr>
        <w:t xml:space="preserve">Harris, BC and CG Veljanovski (2003). “Critical Loss Analysis: Its Growing Use in Competition Law”.  </w:t>
      </w:r>
      <w:r w:rsidRPr="003F7588">
        <w:rPr>
          <w:rFonts w:asciiTheme="majorHAnsi" w:hAnsiTheme="majorHAnsi"/>
          <w:sz w:val="24"/>
          <w:szCs w:val="24"/>
        </w:rPr>
        <w:t xml:space="preserve">E.C.L.R. Issue 5, Sweet &amp; Maxwell Limited. Disponível em junho de 2009 </w:t>
      </w:r>
      <w:hyperlink r:id="rId28" w:history="1">
        <w:r w:rsidRPr="00117867">
          <w:rPr>
            <w:rStyle w:val="Hyperlink"/>
            <w:rFonts w:asciiTheme="majorHAnsi" w:hAnsiTheme="majorHAnsi"/>
            <w:sz w:val="24"/>
            <w:szCs w:val="24"/>
          </w:rPr>
          <w:t>http://www.casecon.com/data/pdfs/criticalloss.pdf</w:t>
        </w:r>
      </w:hyperlink>
    </w:p>
    <w:p w:rsidR="00874D9A" w:rsidRDefault="00874D9A" w:rsidP="008D6127">
      <w:pPr>
        <w:spacing w:after="0" w:line="240" w:lineRule="auto"/>
        <w:jc w:val="both"/>
        <w:rPr>
          <w:rFonts w:asciiTheme="majorHAnsi" w:hAnsiTheme="majorHAnsi"/>
          <w:sz w:val="24"/>
          <w:szCs w:val="24"/>
        </w:rPr>
      </w:pPr>
    </w:p>
    <w:p w:rsidR="00F55B06" w:rsidRPr="00F55B06" w:rsidRDefault="00F55B06" w:rsidP="008D6127">
      <w:pPr>
        <w:spacing w:after="0" w:line="240" w:lineRule="auto"/>
        <w:jc w:val="both"/>
        <w:rPr>
          <w:rFonts w:asciiTheme="majorHAnsi" w:hAnsiTheme="majorHAnsi"/>
          <w:sz w:val="24"/>
          <w:szCs w:val="24"/>
          <w:lang w:val="en-US"/>
        </w:rPr>
      </w:pPr>
      <w:r w:rsidRPr="00F55B06">
        <w:rPr>
          <w:rFonts w:asciiTheme="majorHAnsi" w:hAnsiTheme="majorHAnsi"/>
          <w:sz w:val="24"/>
          <w:szCs w:val="24"/>
          <w:lang w:val="en-US"/>
        </w:rPr>
        <w:t>Scheffman, D and J Simons (2003). “The State of Critical Loss Analysis: Let’s Make Sure We Understand the Whole Story”, The Antitrust Source.</w:t>
      </w:r>
    </w:p>
    <w:p w:rsidR="00F55B06" w:rsidRPr="00F55B06" w:rsidRDefault="00F55B06" w:rsidP="008D6127">
      <w:pPr>
        <w:spacing w:after="0" w:line="240" w:lineRule="auto"/>
        <w:jc w:val="both"/>
        <w:rPr>
          <w:rFonts w:asciiTheme="majorHAnsi" w:hAnsiTheme="majorHAnsi"/>
          <w:sz w:val="24"/>
          <w:szCs w:val="24"/>
          <w:lang w:val="en-US"/>
        </w:rPr>
      </w:pPr>
    </w:p>
    <w:p w:rsidR="00874D9A" w:rsidRDefault="00874D9A" w:rsidP="008D6127">
      <w:pPr>
        <w:spacing w:after="0" w:line="240" w:lineRule="auto"/>
        <w:jc w:val="both"/>
        <w:rPr>
          <w:rFonts w:asciiTheme="majorHAnsi" w:hAnsiTheme="majorHAnsi"/>
          <w:sz w:val="24"/>
          <w:szCs w:val="24"/>
          <w:lang w:val="en-US"/>
        </w:rPr>
      </w:pPr>
      <w:r w:rsidRPr="00874D9A">
        <w:rPr>
          <w:rFonts w:asciiTheme="majorHAnsi" w:hAnsiTheme="majorHAnsi"/>
          <w:sz w:val="24"/>
          <w:szCs w:val="24"/>
          <w:lang w:val="en-US"/>
        </w:rPr>
        <w:t>Werden, G. J.(1998). “Hospital Mergers and the Hypothetical Monopolist Test” Antitrust Division and Federal Trade Commission Health Care and Competition Law and Policy Hearings.</w:t>
      </w:r>
    </w:p>
    <w:p w:rsidR="00874D9A" w:rsidRDefault="00874D9A" w:rsidP="008D6127">
      <w:pPr>
        <w:spacing w:after="0" w:line="240" w:lineRule="auto"/>
        <w:jc w:val="both"/>
        <w:rPr>
          <w:rFonts w:asciiTheme="majorHAnsi" w:hAnsiTheme="majorHAnsi"/>
          <w:sz w:val="24"/>
          <w:szCs w:val="24"/>
          <w:lang w:val="en-US"/>
        </w:rPr>
      </w:pPr>
    </w:p>
    <w:p w:rsidR="003F7588" w:rsidRDefault="003F7588" w:rsidP="008D6127">
      <w:pPr>
        <w:spacing w:after="0" w:line="240" w:lineRule="auto"/>
        <w:jc w:val="both"/>
        <w:rPr>
          <w:rFonts w:asciiTheme="majorHAnsi" w:hAnsiTheme="majorHAnsi"/>
          <w:sz w:val="24"/>
          <w:szCs w:val="24"/>
          <w:lang w:val="en-US"/>
        </w:rPr>
      </w:pPr>
      <w:r w:rsidRPr="003F7588">
        <w:rPr>
          <w:rFonts w:asciiTheme="majorHAnsi" w:hAnsiTheme="majorHAnsi"/>
          <w:sz w:val="24"/>
          <w:szCs w:val="24"/>
          <w:lang w:val="en-US"/>
        </w:rPr>
        <w:t>Werden, GJ (2003), "The 1982 Merger Guidelines and the Ascent of the Hypothetical Monopolist Paradigm," Antitrust Law Review, vol. 71, pp. 253-269.</w:t>
      </w:r>
    </w:p>
    <w:p w:rsidR="00874D9A" w:rsidRDefault="00874D9A" w:rsidP="008D6127">
      <w:pPr>
        <w:spacing w:after="0" w:line="240" w:lineRule="auto"/>
        <w:jc w:val="both"/>
        <w:rPr>
          <w:rFonts w:asciiTheme="majorHAnsi" w:hAnsiTheme="majorHAnsi"/>
          <w:sz w:val="24"/>
          <w:szCs w:val="24"/>
          <w:lang w:val="en-US"/>
        </w:rPr>
      </w:pPr>
    </w:p>
    <w:p w:rsidR="003F7588" w:rsidRPr="0077189F" w:rsidRDefault="003F7588" w:rsidP="008D6127">
      <w:pPr>
        <w:spacing w:after="0" w:line="240" w:lineRule="auto"/>
        <w:jc w:val="both"/>
        <w:rPr>
          <w:rFonts w:asciiTheme="majorHAnsi" w:hAnsiTheme="majorHAnsi"/>
          <w:sz w:val="24"/>
          <w:szCs w:val="24"/>
          <w:lang w:val="en-US"/>
        </w:rPr>
      </w:pPr>
    </w:p>
    <w:sectPr w:rsidR="003F7588" w:rsidRPr="0077189F" w:rsidSect="006E22B8">
      <w:headerReference w:type="default" r:id="rId2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BFA" w:rsidRDefault="00E31BFA" w:rsidP="00E74718">
      <w:pPr>
        <w:spacing w:after="0" w:line="240" w:lineRule="auto"/>
      </w:pPr>
      <w:r>
        <w:separator/>
      </w:r>
    </w:p>
  </w:endnote>
  <w:endnote w:type="continuationSeparator" w:id="0">
    <w:p w:rsidR="00E31BFA" w:rsidRDefault="00E31BFA" w:rsidP="00E74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BFA" w:rsidRDefault="00E31BFA" w:rsidP="00E74718">
      <w:pPr>
        <w:spacing w:after="0" w:line="240" w:lineRule="auto"/>
      </w:pPr>
      <w:r>
        <w:separator/>
      </w:r>
    </w:p>
  </w:footnote>
  <w:footnote w:type="continuationSeparator" w:id="0">
    <w:p w:rsidR="00E31BFA" w:rsidRDefault="00E31BFA" w:rsidP="00E74718">
      <w:pPr>
        <w:spacing w:after="0" w:line="240" w:lineRule="auto"/>
      </w:pPr>
      <w:r>
        <w:continuationSeparator/>
      </w:r>
    </w:p>
  </w:footnote>
  <w:footnote w:id="1">
    <w:p w:rsidR="0057140A" w:rsidRDefault="0057140A" w:rsidP="005135F6">
      <w:pPr>
        <w:pStyle w:val="Textodenotaderodap"/>
        <w:jc w:val="both"/>
      </w:pPr>
      <w:r>
        <w:rPr>
          <w:rStyle w:val="Refdenotaderodap"/>
        </w:rPr>
        <w:footnoteRef/>
      </w:r>
      <w:r>
        <w:t xml:space="preserve">  Uma técnica alternativa para a determinação de mercado relevante são as técnicas de cointegração</w:t>
      </w:r>
      <w:r w:rsidR="005135F6">
        <w:t xml:space="preserve">. </w:t>
      </w:r>
    </w:p>
  </w:footnote>
  <w:footnote w:id="2">
    <w:p w:rsidR="00E74718" w:rsidRPr="005B2427" w:rsidRDefault="00E74718" w:rsidP="00CF1085">
      <w:pPr>
        <w:pStyle w:val="Textodenotaderodap"/>
        <w:jc w:val="both"/>
      </w:pPr>
      <w:r w:rsidRPr="005B2427">
        <w:rPr>
          <w:rStyle w:val="Refdenotaderodap"/>
        </w:rPr>
        <w:footnoteRef/>
      </w:r>
      <w:r w:rsidRPr="005B2427">
        <w:t xml:space="preserve"> </w:t>
      </w:r>
      <w:r w:rsidRPr="005B2427">
        <w:rPr>
          <w:bCs/>
        </w:rPr>
        <w:t>Uma crítica a este tipo de teste foi feita por</w:t>
      </w:r>
      <w:r w:rsidRPr="005B2427">
        <w:t xml:space="preserve"> Werden (2003)</w:t>
      </w:r>
      <w:r>
        <w:t>, que discorda da</w:t>
      </w:r>
      <w:r w:rsidRPr="005B2427">
        <w:t xml:space="preserve"> escolha prévia de uma certa porcentagem nos aumento de preços para a realização do teste. Conforme  </w:t>
      </w:r>
      <w:r>
        <w:t>de</w:t>
      </w:r>
      <w:r w:rsidRPr="005B2427">
        <w:t xml:space="preserve">mostra através de ilustrações que reproduzem casos verídicos, </w:t>
      </w:r>
      <w:r>
        <w:t xml:space="preserve">Werden afirma que </w:t>
      </w:r>
      <w:r w:rsidRPr="005B2427">
        <w:t xml:space="preserve">é possível que, para um monopolista hipotético, não seja lucrativo elevar os preços em 5%, mas  em 50%. Evidentemente, as simulações de fusão não estão sujeitas a este problema por não especificarem os aumentos de preços </w:t>
      </w:r>
      <w:r w:rsidRPr="005B2427">
        <w:rPr>
          <w:i/>
          <w:iCs/>
        </w:rPr>
        <w:t>a priori</w:t>
      </w:r>
      <w:r w:rsidRPr="005B2427">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401844"/>
      <w:docPartObj>
        <w:docPartGallery w:val="Page Numbers (Top of Page)"/>
        <w:docPartUnique/>
      </w:docPartObj>
    </w:sdtPr>
    <w:sdtContent>
      <w:p w:rsidR="00723667" w:rsidRDefault="00723667">
        <w:pPr>
          <w:pStyle w:val="Cabealho"/>
          <w:jc w:val="right"/>
        </w:pPr>
        <w:fldSimple w:instr=" PAGE   \* MERGEFORMAT ">
          <w:r>
            <w:rPr>
              <w:noProof/>
            </w:rPr>
            <w:t>1</w:t>
          </w:r>
        </w:fldSimple>
      </w:p>
    </w:sdtContent>
  </w:sdt>
  <w:p w:rsidR="00723667" w:rsidRDefault="0072366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17876"/>
    <w:rsid w:val="00001F53"/>
    <w:rsid w:val="001A4926"/>
    <w:rsid w:val="001A6C7A"/>
    <w:rsid w:val="001F07F4"/>
    <w:rsid w:val="00230A59"/>
    <w:rsid w:val="002551C5"/>
    <w:rsid w:val="002775D5"/>
    <w:rsid w:val="003F7588"/>
    <w:rsid w:val="00453275"/>
    <w:rsid w:val="004A289F"/>
    <w:rsid w:val="005135F6"/>
    <w:rsid w:val="00566693"/>
    <w:rsid w:val="005674BD"/>
    <w:rsid w:val="0057140A"/>
    <w:rsid w:val="00601B5E"/>
    <w:rsid w:val="00655087"/>
    <w:rsid w:val="006A6406"/>
    <w:rsid w:val="006D0615"/>
    <w:rsid w:val="006E22B8"/>
    <w:rsid w:val="006E3683"/>
    <w:rsid w:val="00716C95"/>
    <w:rsid w:val="00723667"/>
    <w:rsid w:val="00751BC8"/>
    <w:rsid w:val="0077189F"/>
    <w:rsid w:val="007E69E1"/>
    <w:rsid w:val="007F644E"/>
    <w:rsid w:val="008252AB"/>
    <w:rsid w:val="00874D9A"/>
    <w:rsid w:val="00883777"/>
    <w:rsid w:val="008D6127"/>
    <w:rsid w:val="00912401"/>
    <w:rsid w:val="009C2744"/>
    <w:rsid w:val="009D408F"/>
    <w:rsid w:val="009E2637"/>
    <w:rsid w:val="00A10250"/>
    <w:rsid w:val="00A616B2"/>
    <w:rsid w:val="00A853B1"/>
    <w:rsid w:val="00AF53CA"/>
    <w:rsid w:val="00BC2657"/>
    <w:rsid w:val="00BD69DB"/>
    <w:rsid w:val="00BE5796"/>
    <w:rsid w:val="00C17876"/>
    <w:rsid w:val="00C17C60"/>
    <w:rsid w:val="00CE51AE"/>
    <w:rsid w:val="00CF1085"/>
    <w:rsid w:val="00D40406"/>
    <w:rsid w:val="00D749BA"/>
    <w:rsid w:val="00DA041B"/>
    <w:rsid w:val="00DE07DE"/>
    <w:rsid w:val="00DF5D61"/>
    <w:rsid w:val="00E31BFA"/>
    <w:rsid w:val="00E74718"/>
    <w:rsid w:val="00E878B5"/>
    <w:rsid w:val="00EC05FA"/>
    <w:rsid w:val="00F55B06"/>
    <w:rsid w:val="00F670A7"/>
    <w:rsid w:val="00F71794"/>
    <w:rsid w:val="00FB24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2B8"/>
  </w:style>
  <w:style w:type="paragraph" w:styleId="Ttulo1">
    <w:name w:val="heading 1"/>
    <w:basedOn w:val="Normal"/>
    <w:next w:val="Normal"/>
    <w:link w:val="Ttulo1Char"/>
    <w:uiPriority w:val="9"/>
    <w:qFormat/>
    <w:rsid w:val="00E74718"/>
    <w:pPr>
      <w:keepNext/>
      <w:spacing w:after="0" w:line="360" w:lineRule="auto"/>
      <w:outlineLvl w:val="0"/>
    </w:pPr>
    <w:rPr>
      <w:rFonts w:ascii="Times New Roman" w:eastAsia="Times New Roman" w:hAnsi="Times New Roman" w:cs="Times New Roman"/>
      <w:b/>
      <w:sz w:val="28"/>
      <w:szCs w:val="28"/>
      <w:lang w:eastAsia="pt-BR"/>
    </w:rPr>
  </w:style>
  <w:style w:type="paragraph" w:styleId="Ttulo2">
    <w:name w:val="heading 2"/>
    <w:basedOn w:val="Normal"/>
    <w:next w:val="Normal"/>
    <w:link w:val="Ttulo2Char"/>
    <w:uiPriority w:val="9"/>
    <w:semiHidden/>
    <w:unhideWhenUsed/>
    <w:qFormat/>
    <w:rsid w:val="00FB2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autoRedefine/>
    <w:uiPriority w:val="9"/>
    <w:qFormat/>
    <w:rsid w:val="00E74718"/>
    <w:pPr>
      <w:keepNext/>
      <w:spacing w:after="0" w:line="240" w:lineRule="auto"/>
      <w:jc w:val="center"/>
      <w:outlineLvl w:val="2"/>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2744"/>
    <w:pPr>
      <w:ind w:left="720"/>
      <w:contextualSpacing/>
    </w:pPr>
  </w:style>
  <w:style w:type="character" w:customStyle="1" w:styleId="Ttulo1Char">
    <w:name w:val="Título 1 Char"/>
    <w:basedOn w:val="Fontepargpadro"/>
    <w:link w:val="Ttulo1"/>
    <w:uiPriority w:val="9"/>
    <w:rsid w:val="00E74718"/>
    <w:rPr>
      <w:rFonts w:ascii="Times New Roman" w:eastAsia="Times New Roman" w:hAnsi="Times New Roman" w:cs="Times New Roman"/>
      <w:b/>
      <w:sz w:val="28"/>
      <w:szCs w:val="28"/>
      <w:lang w:eastAsia="pt-BR"/>
    </w:rPr>
  </w:style>
  <w:style w:type="character" w:customStyle="1" w:styleId="Ttulo3Char">
    <w:name w:val="Título 3 Char"/>
    <w:basedOn w:val="Fontepargpadro"/>
    <w:link w:val="Ttulo3"/>
    <w:uiPriority w:val="9"/>
    <w:rsid w:val="00E74718"/>
    <w:rPr>
      <w:rFonts w:ascii="Times New Roman" w:eastAsia="Times New Roman" w:hAnsi="Times New Roman" w:cs="Times New Roman"/>
      <w:b/>
      <w:bCs/>
      <w:sz w:val="24"/>
      <w:szCs w:val="24"/>
      <w:lang w:eastAsia="pt-BR"/>
    </w:rPr>
  </w:style>
  <w:style w:type="paragraph" w:styleId="Textodenotaderodap">
    <w:name w:val="footnote text"/>
    <w:aliases w:val="Texto de nota de rodapé Char Char Char,Texto de nota de rodapé Char Char,Footnote Text Char Car"/>
    <w:basedOn w:val="Normal"/>
    <w:link w:val="TextodenotaderodapChar1"/>
    <w:semiHidden/>
    <w:rsid w:val="00E747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E74718"/>
    <w:rPr>
      <w:sz w:val="20"/>
      <w:szCs w:val="20"/>
    </w:rPr>
  </w:style>
  <w:style w:type="character" w:customStyle="1" w:styleId="TextodenotaderodapChar1">
    <w:name w:val="Texto de nota de rodapé Char1"/>
    <w:aliases w:val="Texto de nota de rodapé Char Char Char Char,Texto de nota de rodapé Char Char Char1,Footnote Text Char Car Char"/>
    <w:basedOn w:val="Fontepargpadro"/>
    <w:link w:val="Textodenotaderodap"/>
    <w:semiHidden/>
    <w:rsid w:val="00E74718"/>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74718"/>
    <w:rPr>
      <w:vertAlign w:val="superscript"/>
    </w:rPr>
  </w:style>
  <w:style w:type="character" w:customStyle="1" w:styleId="Ttulo2Char">
    <w:name w:val="Título 2 Char"/>
    <w:basedOn w:val="Fontepargpadro"/>
    <w:link w:val="Ttulo2"/>
    <w:uiPriority w:val="9"/>
    <w:semiHidden/>
    <w:rsid w:val="00FB2448"/>
    <w:rPr>
      <w:rFonts w:asciiTheme="majorHAnsi" w:eastAsiaTheme="majorEastAsia" w:hAnsiTheme="majorHAnsi" w:cstheme="majorBidi"/>
      <w:b/>
      <w:bCs/>
      <w:color w:val="4F81BD" w:themeColor="accent1"/>
      <w:sz w:val="26"/>
      <w:szCs w:val="26"/>
    </w:rPr>
  </w:style>
  <w:style w:type="paragraph" w:styleId="Legenda">
    <w:name w:val="caption"/>
    <w:basedOn w:val="Normal"/>
    <w:next w:val="Normal"/>
    <w:qFormat/>
    <w:rsid w:val="00FB2448"/>
    <w:pPr>
      <w:spacing w:after="0" w:line="240" w:lineRule="auto"/>
    </w:pPr>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FB24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2448"/>
    <w:rPr>
      <w:rFonts w:ascii="Tahoma" w:hAnsi="Tahoma" w:cs="Tahoma"/>
      <w:sz w:val="16"/>
      <w:szCs w:val="16"/>
    </w:rPr>
  </w:style>
  <w:style w:type="character" w:styleId="Hyperlink">
    <w:name w:val="Hyperlink"/>
    <w:basedOn w:val="Fontepargpadro"/>
    <w:uiPriority w:val="99"/>
    <w:unhideWhenUsed/>
    <w:rsid w:val="003F7588"/>
    <w:rPr>
      <w:color w:val="0000FF" w:themeColor="hyperlink"/>
      <w:u w:val="single"/>
    </w:rPr>
  </w:style>
  <w:style w:type="paragraph" w:styleId="Cabealho">
    <w:name w:val="header"/>
    <w:basedOn w:val="Normal"/>
    <w:link w:val="CabealhoChar"/>
    <w:uiPriority w:val="99"/>
    <w:unhideWhenUsed/>
    <w:rsid w:val="007236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3667"/>
  </w:style>
  <w:style w:type="paragraph" w:styleId="Rodap">
    <w:name w:val="footer"/>
    <w:basedOn w:val="Normal"/>
    <w:link w:val="RodapChar"/>
    <w:uiPriority w:val="99"/>
    <w:semiHidden/>
    <w:unhideWhenUsed/>
    <w:rsid w:val="0072366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23667"/>
  </w:style>
</w:styles>
</file>

<file path=word/webSettings.xml><?xml version="1.0" encoding="utf-8"?>
<w:webSettings xmlns:r="http://schemas.openxmlformats.org/officeDocument/2006/relationships" xmlns:w="http://schemas.openxmlformats.org/wordprocessingml/2006/main">
  <w:divs>
    <w:div w:id="12003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hyperlink" Target="http://www.casecon.com/data/pdfs/criticalloss.pdf" TargetMode="Externa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462D-A219-45E7-9624-2B87E313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2090</Words>
  <Characters>11291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Fagundes</cp:lastModifiedBy>
  <cp:revision>3</cp:revision>
  <dcterms:created xsi:type="dcterms:W3CDTF">2010-04-19T23:35:00Z</dcterms:created>
  <dcterms:modified xsi:type="dcterms:W3CDTF">2010-04-19T23:36:00Z</dcterms:modified>
</cp:coreProperties>
</file>